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ACJC/1313/2015 vom 23. Februar 2015</w:t>
      </w:r>
    </w:p>
    <w:p>
      <w:r>
        <w:t>GE Cour de justice, 2015-02-23, FR</w:t>
      </w:r>
    </w:p>
    <w:p>
      <w:r>
        <w:rPr>
          <w:b/>
        </w:rPr>
        <w:t xml:space="preserve">Quelle: </w:t>
      </w:r>
      <w:r>
        <w:t>https://mcp.opencaselaw.ch/entscheid/ge_gerichte_ACJC_1313_2015</w:t>
      </w:r>
    </w:p>
    <w:p>
      <w:r>
        <w:t>FR: GE_GERICHTE ACJC/1313/2015 du 23 février 2015</w:t>
      </w:r>
    </w:p>
    <w:p>
      <w:r>
        <w:t>IT: GE_GERICHTE ACJC/1313/2015 del 23 febbraio 2015</w:t>
      </w:r>
    </w:p>
    <w:p>
      <w:pPr>
        <w:pStyle w:val="Heading2"/>
      </w:pPr>
      <w:r>
        <w:t>Erwägungen</w:t>
      </w:r>
    </w:p>
    <w:p>
      <w:r>
        <w:rPr>
          <w:b/>
        </w:rPr>
        <w:t>E. 1.1</w:t>
      </w:r>
    </w:p>
    <w:p>
      <w:r>
        <w:t>L'appel est recevable contre les décisions finales de première instance, dans les litiges patrimoniaux, si la valeur litigieuse au dernier état des conclusions devant le premier juge est de 10'000 fr. au moins (art. 308 al. 1 let. b et al. 2 CPC). Si la durée des revenus et prestations périodiques en cause est indéterminée ou illimitée, le capital de cette valeur litigieuse est constitué du montant annuel du revenu ou de la prestation, multiplié par 20 (art. 92 al. 2 CPC). Etant donné les conclusions des parties en première instance, la valeur litigieuse de 10'000 fr. est atteinte. L'appel a été interjeté dans le délai et suivant la forme prescrite par la loi (art. 130, 131, 311 al. 1 CPC). Il est ainsi recevable.</w:t>
      </w:r>
    </w:p>
    <w:p>
      <w:r>
        <w:rPr>
          <w:b/>
        </w:rPr>
        <w:t>E. 1.2</w:t>
      </w:r>
    </w:p>
    <w:p>
      <w:r>
        <w:t>L'appel peut être formé pour violation du droit (art. 310 let. a CPC) et constatation inexacte des faits (art. 310 let. b CPC). Le juge d'appel dispose ainsi d'un plein pouvoir d'examen de la cause en fait et en droit (ATF 138 III 374 consid. 4.3.1). S'agissant de la contribution d'entretien d'un enfant mineur, les maximes d'office et inquisitoire illimitée s'appliquent (art. 296 al. 1 et 3, 55 al. 2 et 58 al. 2 CPC; ATF 129 III 417 consid. 2.1.2; 128 III 411 consid. 3.2.2; arrêt du Tribunal fédéral 5A_906/2012 du 18 avril 2013 consid. 6.1.1).</w:t>
      </w:r>
    </w:p>
    <w:p>
      <w:r>
        <w:rPr>
          <w:b/>
        </w:rPr>
        <w:t>E. 2</w:t>
      </w:r>
    </w:p>
    <w:p>
      <w:r>
        <w:t>L'appelant critique les revenus retenus par le Tribunal pour l'intimée ainsi que certaines charges.</w:t>
      </w:r>
    </w:p>
    <w:p>
      <w:r>
        <w:rPr>
          <w:b/>
        </w:rPr>
        <w:t>E. 2.1.1</w:t>
      </w:r>
    </w:p>
    <w:p>
      <w:r>
        <w:t>La modification ou la suppression de la contribution d'entretien de l'enfant, fixée dans un jugement de divorce, est régie par l'art. 286 al. 2 CC, applicable par renvoi de l'art. 134 al. 2 CC.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p. 606; 131 III 189 consid. 2.7.4 p. 199; 120 II 177 consid. 3a p. 178). Le fait revêt un caractère nouveau lorsqu'il n'a pas été pris en considération pour fixer la contribution d'entretien dans le jugement de divorce. Le moment déterminant pour apprécier si un fait nouveau s'est produit est</w:t>
      </w:r>
    </w:p>
    <w:p>
      <w:r>
        <w:t>- 7/12 -</w:t>
      </w:r>
    </w:p>
    <w:p>
      <w:r>
        <w:t>C/10930/2014 la date du dépôt de la demande de modification (ATF 137 III 604 consid. 4.1.1 p. 606; 131 III 189 consid. 2.7.4 p. 199; 120 II 285 consid. 4b p. 292 s.). La survenance d'un fait nouveau - important et durable - n'entraîne pas automatiquement une modification de la contribution d'entretien de l'enfant. Ce n'est que si la charge d'entretien devient déséquilibrée entre les deux parents, vu les circonstances prises en compte dans le jugement précédent, en particulier si cette charge devient excessivement lourde pour le parent débirentier qui aurait une condition modeste, qu'une modification de la contribution peut entrer en considération (ATF 134 III 337 consid. 2.2.2 p. 339 s.).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 p. 606 et les arrêts cités). Lorsqu'il admet que les conditions susmentionnées sont remplies, le juge doit alors fixer à nouveau la contribution d'entretien, après avoir actualisé tous les éléments pris en compte pour le calcul dans le jugement précédent. Pour que le juge puisse procéder à cette actualisation, il n'est pas nécessaire que la modification survenue dans ces autres éléments constitue également un fait nouveau (cf. ATF 138 III 289 consid. 11.1.1 p. 292 et les références).</w:t>
      </w:r>
    </w:p>
    <w:p>
      <w:r>
        <w:rPr>
          <w:b/>
        </w:rPr>
        <w:t>E. 2.1.2</w:t>
      </w:r>
    </w:p>
    <w:p>
      <w:r>
        <w:t>Selon l'art. 285 al. 1 CC, la contribution d'entretien doit correspondre aux besoins de l'enfant ainsi qu'à la situation et aux ressources des père et mère. Les enfants ont le droit de recevoir une éducation et de bénéficier d'un niveau de vie qui corresponde à la situation des parents; leurs besoins doivent également être calculés de manière plus large lorsque les parents bénéficient d'un niveau de vie plus élevé (ATF 120 II 285 consid. 3a/cc p. 289 s.; parmi plusieurs: arrêt du Tribunal fédéral 5A_959/2013 du 1er octobre 2014 consid. 9.2.2). Celui des parents dont la capacité financière est supérieure peut par ailleurs être tenu, suivant les circonstances, de subvenir à l'entier du besoin en argent si l'autre remplit son obligation à l'égard de l'enfant essentiellement en nature (ATF 120 II 285 consid. 3a/cc p. 289; arrêt du Tribunal fédéral 5A_386/2012 du 23 juillet 2012 consid. 4.2.1 et les références). L'obligation d'entretien trouve sa limite dans la capacité contributive du débirentier, en ce sens que le minimum vital de celui-ci doit être préservé (ATF 135 III 66 consid. 2 p. 67 s.; 123 III 1 consid. 3b/bb p. 4 s. et consid. 5 in fine p. 9).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p. 121; arrêt 5A_513/2012 du 17 octobre 2012 consid. 4). Il s'ensuit que, lorsqu'il ressort des faits que l'un des parents, ou les deux, ne fournissent pas</w:t>
      </w:r>
    </w:p>
    <w:p>
      <w:r>
        <w:t>- 8/12 -</w:t>
      </w:r>
    </w:p>
    <w:p>
      <w:r>
        <w:t>C/10930/2014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128 III 4 consid. 4a; arrêts du Tribunal fédéral 5A_165/2013 du 28 août 2013 consid. 4.1; 5A_99/2011 du 26 septembre 2011 consid. 7.4.1 publié in: FamPra.ch 2012 p. 228). 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 du Tribunal fédéral 5A_98/2007 du 8 juin 2007 consid. 3.3 et l'arrêt cité 5C.154/1996 du 2 septembre 1997 consid. 3b). La loi ne prescrit pas de méthode de calcul particulière pour arrêter la contribution d'entretien (ATF 128 III 411 consid. 3.2.2 p. 414 s.); sa fixation relève de l'appréciation du juge, qui jouit d'un large pouvoir d'appréciation (ATF 127 III 136 consid. 3a p. 141; 120 II 285 consid. 3b/bb p. 291; arrêt du Tribunal fédéral 5A_507/2007 du 23 avril 2008 consid. 5.1) et applique les règles du droit et de l'équité (art. 4 CC; 127 III 136 consid. 3a p. 141).</w:t>
      </w:r>
    </w:p>
    <w:p>
      <w:r>
        <w:rPr>
          <w:b/>
        </w:rPr>
        <w:t>E. 2.2</w:t>
      </w:r>
    </w:p>
    <w:p>
      <w:r>
        <w:t>En l'espèce, l'intimée n'a plus l'emploi qu'elle occupait dans une régie immobilière à l'époque du jugement de divorce, ce qui constitue un fait nouveau et durable important qui nécessite que soit à nouveau examiné le montant de la contribution d'entretien due par elle pour l'enfant C______. L'appelant conteste que l'intimée n'ait pas volontairement diminué ses revenus puisqu'elle a démissionné de l'emploi qu'elle occupait. Selon lui, le Tribunal ne pouvait par ailleurs retenir un revenu hypothétique de 1'590 EUR dans le domaine de l'hôtellerie en France, alors qu'il serait plus aisé et confortable pour l'intimée de reprendre un emploi dans l'immobilier à Genève. Il ressort certes des déclarations de l'intimée devant le Tribunal qu'elle a volontairement quitté son emploi. Il ressort toutefois également de ses déclarations, qui n'ont pas été remises en cause par l'appelant, que son employeur avait abandonné l'activité de rénovation et décoration des locations meublées dans laquelle elle était active, de sorte que l'intimée aurait été, en tout état de cause, vraisemblablement licenciée si elle n'avait pas elle-même démissionné. Dès lors, il importe peu, dans le cadre de la présente cause, que l'intimée ait démissionné ou qu'elle ait été licenciée.</w:t>
      </w:r>
    </w:p>
    <w:p>
      <w:r>
        <w:t>- 9/12 -</w:t>
      </w:r>
    </w:p>
    <w:p>
      <w:r>
        <w:t>C/10930/2014</w:t>
      </w:r>
    </w:p>
    <w:p>
      <w:r>
        <w:t>Cela étant, il apparait que depuis la perte de son emploi en 2010, l'intimée n'a pas sérieusement cherché un travail lui permettant de s'acquitter de son obligation d'entretien envers son fils. Elle n'a à cet égard produit aucune recherche d'emploi. Elle indique avoir actuellement, pour seul projet, l'ouverture d'une maison d'hôtes en France, dont elle ne peut toutefois ignorer que les revenus qu'elle pourrait en tirer sont très incertains et, en tous les cas, modestes. Par ailleurs, le fait que le salaire qu'elle obtiendrait en Suisse ferait l'objet d'une saisie comme elle le soutient, ne l'empêche pas, en tant que tel, de chercher du travail, étant par ailleurs relevé que le montant de la dette alimentaire du poursuivi entre dans le calcul de son minimum vital lorsque celui-ci s'acquitte de ladite dette (ATF 109 III 53 consid. 2c). Il doit dès lors être considéré que l'intimée n'a pas fourni tous les efforts qui pouvaient être exigés d'elle et qu'un revenu hypothétique doit lui être imputé. L'intimée n'a pas de formation professionnelle et a indiqué avoir recherché un emploi dans le domaine de la vente. Elle pourrait obtenir des revenus d'au moins 3'820 fr. dans le secteur de la vente de détail, selon le calculateur en ligne de l'Observatoire genevois du marché du travail. L'appelant considère quant à lui qu'il faut prendre en compte le dernier montant retenu à titre de revenus par l'Administration fiscale cantonale, soit 3'750 fr. Ce dernier montant apparaît conforme à celui que l'intimée pourrait à tout le moins être en mesure d'obtenir et il sera pris en compte en l'absence d'éléments permettant de retenir que l'âge ou l'état de santé de l'intimée ou le marché du travail ne permettrait pas à la précitée de l'obtenir. L'intimée n'ayant pas d'autres attaches actuelles rendues vraisemblables avec la France que celle résultant de son désir d'ouvrir une chambre d'hôte dans la maison de son compagnon qui se trouve dans ______ (France), il ne se justifie pas de prendre en compte un revenu hypothétique qui pourrait être obtenu en France. Elle ne peut, en tout état de cause, pas invoquer la perte de revenus qui résulterait d'un transfert de son domicile en France. Concernant les charges de l'intimée, celles-ci peuvent être évaluées à 2'178 fr. (loyer : 0 fr.; assurance maladie : 508 fr.; frais de transports : 70 fr.; minimum vital : 1'200 fr.; impôts : 400 fr. [estimation]).</w:t>
      </w:r>
    </w:p>
    <w:p>
      <w:r>
        <w:t>L'intimée a expliqué que lorsqu'elle était en Suisse, elle logeait dans le studio dont son compagnon est propriétaire, lequel est par ailleurs locataire d'un autre appartement. Elle a également expliqué que, compte tenu de ses dettes, elle ne pourrait pas louer d'appartement. Aucun montant ne doit donc être pris en compte à titre de loyer. L'appelant conteste le jugement attaqué en tant qu'il a retenu un montant à titre de prime d'assurance maladie. L'intimée ayant son domicile légal en Suisse, elle est tenue de s'assurer pour les soins en cas de maladie (cf. art. 3 al. 1 LAMal). Quant au montant retenu à ce titre, même si la police d'assurance, par exemple, n'a pas</w:t>
      </w:r>
    </w:p>
    <w:p>
      <w:r>
        <w:t>- 10/12 -</w:t>
      </w:r>
    </w:p>
    <w:p>
      <w:r>
        <w:t>C/10930/2014 été produite pour en établir le montant, il y a lieu de relever qu'il est inférieur à celui pris en compte par le Tribunal pour l'appelant et que celui-ci ne peut être considéré comme excessif. Enfin, dans la mesure où il est considéré qu'il peut être exigé de l'intimée qu'elle occupe un emploi en Suisse, plus à même de lui procurer des revenus lui permettant de s'acquitter d'une contribution d'entretien pour son fils, un montant à titre de minimum vital en Suisse doit être pris en compte. Le disponible de l'intimée s'élève donc à environ 1'570 fr. (3'750 fr. – 2'178 fr. = 1'572 fr.), soit un montant inférieur de plus de la moitié à celui de 3'181 fr. dont elle disposait selon le jugement de divorce.</w:t>
      </w:r>
    </w:p>
    <w:p>
      <w:r>
        <w:rPr>
          <w:b/>
        </w:rPr>
        <w:t>E. 2.3</w:t>
      </w:r>
    </w:p>
    <w:p>
      <w:r>
        <w:t>Il convient encore d'examiner si la charge d'entretien serait déséquilibrée entre les deux parents si l'intimée devait s'acquitter de l'intégralité des charges de l'enfant. Il ressort du jugement de divorce que l'appelant avait un disponible de 3'834 fr. (7'222 fr. - 3'388 fr.) et l'intimée, de 3'181 fr. (6'880 fr. - 3'699 fr.) avant paiement de la contribution, ou de 2'281 fr. après paiement du montant maximum prévu de 900 fr. Ce disponible représentait alors 59% de celui de l'appelant. Au vu des revenus (8'901 fr.) et charges (4'725 fr.) de l'appelant, non contestés, le disponible de ce dernier s'élève actuellement à 4'176 fr., soit plus qu'au moment du divorce, alors que celui de l'intimée s'est réduit à 1'570 fr. environ. Il apparaît dès lors que l'écart entre les soldes des parents s'est accru. Il est même supérieur, avant paiement d'une contribution d'entretien, à celui qui prévalait après paiement puisque le disponible de l'intimée représente désormais moins de 40% de celui de l'appelant. Il apparaît ainsi que l'équilibre qui prévalait lors du divorce est rompu. Il ne se justifie dès lors pas de faire supporter à l'intimée l'intégralité des charges de l'enfant, soit 939 fr., ce qui lui laisserait un disponible nettement inférieur à celui de l'appelant. Le montant de 300 fr. fixé par le Tribunal laisse à l'intimée un solde qui reste inférieur, proportionnellement, à celui dont elle bénéficiait selon la convention et le jugement de divorce, par rapport au disponible de l'appelant. Ce montant n'apparaît ainsi pas trop modique et il sera donc confirmé.</w:t>
      </w:r>
    </w:p>
    <w:p>
      <w:r>
        <w:rPr>
          <w:b/>
        </w:rPr>
        <w:t>E. 3</w:t>
      </w:r>
    </w:p>
    <w:p>
      <w:r>
        <w:t>Les frais (frais judiciaires et dépens) sont mis à la charge de la partie succombante (art. 95 et 106 al. 1 CPC). Le tribunal peut toutefois s'écarter des règles générales et répartir les frais selon sa libre appréciation lorsque le litige relève du droit de la famille (art. 107 al. 1 let. c CPC).</w:t>
      </w:r>
    </w:p>
    <w:p>
      <w:r>
        <w:t>- 11/12 -</w:t>
      </w:r>
    </w:p>
    <w:p>
      <w:r>
        <w:t>C/10930/2014 En l'espèce, les frais judiciaires d'appel, arrêtés à 1'250 fr. (art. 30 et 35 du Règlement fixant le tarif des frais en matière civile, RTFMC - E 1 05.10) et compensés avec l'avance fournie, qui reste acquise à l'Etat de Genève, seront mis à la charge de l'appelant, qui succombe et jouit d'une situation financière sensiblement meilleure que celle de l'intimée. Chaque partie supportera en revanche ses propres dépens. Les parties n'ont, à juste titre, pas contestés le montant ou la répartition des frais de première instance, qui seront confirmés. * * * * *</w:t>
      </w:r>
    </w:p>
    <w:p>
      <w:r>
        <w:t>- 12/12 -</w:t>
      </w:r>
    </w:p>
    <w:p>
      <w:r>
        <w:t>C/10930/2014 PAR CES MOTIFS, La Chambre civile : A la forme : Déclare recevable l'appel interjeté par A______ contre le jugement JTPI/2101/2015 rendu le 23 février 2015 par le Tribunal de première instance dans la cause C/10930/2014-12. Au fond : Confirme ce jugement. Déboute les parties de toute autre conclusion. Sur les frais : Arrête les frais judiciaires à 1'250 fr., les met à la charge d'A______ et dit qu'ils sont compensés avec l'avance fournie, qui reste acquise à l'Etat de Genève. Dit que chaque partie supporte ses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