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ACJC/1309/2023 vom 9. Oktober 2023</w:t>
      </w:r>
    </w:p>
    <w:p>
      <w:r>
        <w:t>GE Cour de justice, 2023-10-09, FR</w:t>
      </w:r>
    </w:p>
    <w:p>
      <w:r>
        <w:rPr>
          <w:b/>
        </w:rPr>
        <w:t xml:space="preserve">Quelle: </w:t>
      </w:r>
      <w:r>
        <w:t>https://mcp.opencaselaw.ch/entscheid/ge_gerichte_ACJC_1309_2023</w:t>
      </w:r>
    </w:p>
    <w:p>
      <w:r>
        <w:t>FR: GE_GERICHTE ACJC/1309/2023 du 9 octobre 2023</w:t>
      </w:r>
    </w:p>
    <w:p>
      <w:r>
        <w:t>IT: GE_GERICHTE ACJC/1309/2023 del 9 ottobre 2023</w:t>
      </w:r>
    </w:p>
    <w:p>
      <w:pPr>
        <w:pStyle w:val="Heading2"/>
      </w:pPr>
      <w:r>
        <w:t>Erwägungen</w:t>
      </w:r>
    </w:p>
    <w:p>
      <w:r>
        <w:rPr>
          <w:b/>
        </w:rPr>
        <w:t>E. 1.1</w:t>
      </w:r>
    </w:p>
    <w:p>
      <w:r>
        <w:t>Les jugements finaux rendus par le Tribunal de première instance dans une affaire patrimoniale dont la valeur litigieuse est, au dernier état des conclusions devant l'autorité inférieure, de 10'000 fr. au moins sont susceptibles de faire l'objet d'un appel écrit et motivé auprès de la Chambre civile de la Cour de justice dans un délai de 30 jours à compter de leur notification (art. 308 et 311 CPC; art. 120 al. 1 let. a LOJ).</w:t>
      </w:r>
    </w:p>
    <w:p>
      <w:r>
        <w:t>Selon la jurisprudence,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Comme tous les actes de procédure, l'appel doit être interprété selon les règles de la bonne foi (arrêt du Tribunal fédéral 5A_268/2022 du 18 mai 2022 consid. 4).</w:t>
      </w:r>
    </w:p>
    <w:p>
      <w:r>
        <w:rPr>
          <w:b/>
        </w:rPr>
        <w:t>E. 1.2</w:t>
      </w:r>
    </w:p>
    <w:p>
      <w:r>
        <w:t>En l'espèce, l'appel a été interjeté auprès de l'autorité compétente, dans le délai utile de 30 jours et selon la forme prescrite par la loi à l'encontre d'un jugement final rendu dans une affaire patrimoniale dont la valeur litigieuse est, compte tenu des prétentions invoquées en première instance, supérieure à 10'000 fr. Il est de ce point de vue recevable.</w:t>
      </w:r>
    </w:p>
    <w:p>
      <w:r>
        <w:t>Contrairement à ce que soutient l'intimé, l'appel est rédigé de manière suffisamment explicite pour permettre à celui-ci de le comprendre et de se déterminer. Il mentionne quels aspects du jugement querellé sont contestés, les faits qui n'auraient pas correctement été établis, les dispositions légales qui auraient été violées et les raisons pour lesquelles elles auraient été violées. Le fait que l'appelante se détermine sur chacun des allégués de fait du jugement entrepris en mentionnant lesquels sont admis et en complétant ceux qui, selon elle, ont été constatés de manière incomplète ne saurait constituer un motif d'irrecevabilité dans la mesure où l'appelante ne se contente pas d'exposer sa propre version des faits mais indique précisément quels faits n'ont pas été établis correctement. Par</w:t>
      </w:r>
    </w:p>
    <w:p>
      <w:r>
        <w:t>- 10/21 -</w:t>
      </w:r>
    </w:p>
    <w:p>
      <w:r>
        <w:t>C/12308/2020 ailleurs, si la partie relative à la constatation inexacte des faits est certes exposée de manière confuse, l'appelante mélangeant griefs de fait et de droit ainsi que les principes juridiques applicables, une lecture attentive permet néanmoins de comprendre les aspects du jugement qui sont critiqués et pour quels motifs. L'intimé est d'ailleurs parvenu à résumer l'argumentation développée par l'appelante et à se déterminer à son propos. Il convient ainsi d'admettre, sous peine de formalisme excessif, que l'appel répond aux exigences de motivation prévues par la loi. Sa recevabilité sera par conséquent admise.</w:t>
      </w:r>
    </w:p>
    <w:p>
      <w:r>
        <w:t>Le mémoire de réponse est également recevable pour avoir été déposé dans le délai et la forme prescrits par la loi (art. 312 CPC). Il en va de même des écritures subséquentes des parties (art. 316 al. 2 CPC; sur le droit à la réplique spontanée : cf. ATF 146 III 97 consid. 3.4.1 et les références citées).</w:t>
      </w:r>
    </w:p>
    <w:p>
      <w:r>
        <w:rPr>
          <w:b/>
        </w:rPr>
        <w:t>E. 1.3</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w:t>
      </w:r>
    </w:p>
    <w:p>
      <w:r>
        <w:rPr>
          <w:b/>
        </w:rPr>
        <w:t>E. 2</w:t>
      </w:r>
    </w:p>
    <w:p>
      <w:r>
        <w:t>L'intimé conclut à l'irrecevabilité des conclusions de l'appelante tendant au constat que les parties étaient liées par un contrat d'entreprise et que l'action en enrichissement illégitime n'est pas prescrite, aux motifs que les conditions fixées à l'art. 317 al. 2 CPC pour la prise de conclusions nouvelles ne sont pas réunies et que les conclusions litigieuses vont au-delà de ce qu'autorise l'art. 318 CPC.</w:t>
      </w:r>
    </w:p>
    <w:p>
      <w:r>
        <w:rPr>
          <w:b/>
        </w:rPr>
        <w:t>E. 2.1</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2.2</w:t>
      </w:r>
    </w:p>
    <w:p>
      <w:r>
        <w:t>En l'espèce, lors de l'audience du 5 novembre 2021, l'appelante avait d'ores et déjà conclu au constat que la prescription n'était pas intervenue. Sa conclusion tendant à ce qu'il soit constaté que son action en enrichissement illégitime n'est pas prescrite ne fait ainsi que préciser sa précédente conclusion, de sorte qu'elle ne saurait être qualifiée de nouvelle.</w:t>
      </w:r>
    </w:p>
    <w:p>
      <w:r>
        <w:t>En revanche, la conclusion de l'appelante en constat que les parties étaient liées par un contrat d'entreprise constitue une conclusion nouvelle. Or, cette modification ne repose sur aucun fait ou moyen de preuve nouveau. La décision du Tribunal de limiter la procédure à la question de la prescription ne saurait constituer un fait nouveau puisqu'elle est intervenue plusieurs mois avant que le premier juge ne garde la cause à juger. L'appelante avait donc la possibilité, si elle</w:t>
      </w:r>
    </w:p>
    <w:p>
      <w:r>
        <w:t>- 11/21 -</w:t>
      </w:r>
    </w:p>
    <w:p>
      <w:r>
        <w:t>C/12308/2020 le souhaitait, d'adapter ses conclusions en première instance déjà. Ladite conclusion sera en conséquence déclarée irrecevable.</w:t>
      </w:r>
    </w:p>
    <w:p>
      <w:r>
        <w:rPr>
          <w:b/>
        </w:rPr>
        <w:t>E. 3</w:t>
      </w:r>
    </w:p>
    <w:p>
      <w:r>
        <w:t>L'appelante se plaint d'une constatation inexacte des faits, reprochant au premier juge d'avoir omis certains éléments essentiels pour la résolution du litige. L'état de fait retenu par le Tribunal a, en tant que de besoin, été complété sur la base des pièces de la procédure, de sorte que le grief de l'appelante en lien avec la constatation inexacte des faits ne sera pas traité plus avant.</w:t>
      </w:r>
    </w:p>
    <w:p>
      <w:r>
        <w:rPr>
          <w:b/>
        </w:rPr>
        <w:t>E. 4</w:t>
      </w:r>
    </w:p>
    <w:p>
      <w:r>
        <w:t>L'appelante reproche au premier juge d'avoir violé l'art. 125 let. a CPC et de ne pas avoir respecté son droit d'être entendue en se prononçant sur l'existence d'un contrat d'entreprise alors que la procédure était limitée à la question de la prescription et qu'il ne disposait pas des éléments nécessaires pour statuer sur ce point. Elle soutient qu'en raison de la limitation de la procédure à la question de la prescription, l'instruction n'a pas permis d'éclaircir certains faits, notamment si elle était au courant des arrangements passés entre C______ et l'intimé, le premier juge ayant uniquement autorisé que soient posées aux témoins auditionnés des questions en lien avec le point de départ du délai de prescription.</w:t>
      </w:r>
    </w:p>
    <w:p>
      <w:r>
        <w:rPr>
          <w:b/>
        </w:rPr>
        <w:t>E. 4.1</w:t>
      </w:r>
    </w:p>
    <w:p>
      <w:r>
        <w:t>Selon l'art. 125 let. a CPC, le tribunal peut notamment, pour simplifier le procès, limiter la procédure à des questions ou des conclusions déterminées. La limitation peut porter sur une question préjudicielle susceptible de mettre un terme au procès (p. ex. la prescription ou la légitimation), qui débouchera alors sur une décision finale (art. 236 CPC) ou incidente (art. 237 CPC; HALDY, Commentaire romand CPC, 2ème éd., 2019, n. 5 ad art. 125 CPC). Le juge qui limite la procédure à une question spécifique ne peut traiter d'aspects sortant du cadre défini qu'après avoir formellement élargi la procédure et permis aux parties de se déterminer. A défaut, la garantie des parties à un procès équitable, et notamment le droit au respect par le juge des règles de la bonne foi, est enfreinte (arrêt du Tribunal fédéral 4A_319/2021 du 18 juillet 2022 consid. 2.2.1; cf. également 4A_267/2014 du 8 octobre 2014 consid. 4).</w:t>
      </w:r>
    </w:p>
    <w:p>
      <w:r>
        <w:rPr>
          <w:b/>
        </w:rPr>
        <w:t>E. 4.2</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143 V 71 consid. 4.1; 142 III 48 consid. 4.1.1; 140 I 285 consid. 6.3.1).</w:t>
      </w:r>
    </w:p>
    <w:p>
      <w:r>
        <w:t>- 12/21 -</w:t>
      </w:r>
    </w:p>
    <w:p>
      <w:r>
        <w:t>C/12308/2020</w:t>
      </w:r>
    </w:p>
    <w:p>
      <w:r>
        <w:rPr>
          <w:b/>
        </w:rPr>
        <w:t>E. 4.3</w:t>
      </w:r>
    </w:p>
    <w:p>
      <w:r>
        <w:t>L'action pour cause d'enrichissement illégitime repose sur quatre conditions, à savoir l'enrichissement d'une personne, l'appauvrissement d'une autre, un rapport de causalité entre ces deux éléments, et l'absence d'une cause légitime ou le paiement d'un indu (arrêt du Tribunal fédéral 5A_819/2021 du 9 février 2022 consid. 3.2.1). Selon l'art. 67 al. 1 CO en vigueur depuis le 1er janvier 2020, l'action pour cause d'enrichissement illégitime se prescrit par trois ans à compter du jour où la partie lésée a eu connaissance de son droit de répétition et, dans tous les cas, par dix ans à compter de la naissance de ce droit. Précédemment, l'action se prescrivait par un an à compter du jour où la partie lésée avait eu connaissance de son droit de répétition et, dans tous les cas, par dix ans dès la naissance de ce droit (art. 67 al. 1 aCO). Selon l'art. 49 al. 1 Titre final CC, lorsque le nouveau droit prévoit des délais de prescription plus longs que l'ancien droit, le nouveau droit s'applique dès lors que la prescription n'est pas échue en vertu de l'ancien droit (al. 1).</w:t>
      </w:r>
    </w:p>
    <w:p>
      <w:r>
        <w:rPr>
          <w:b/>
        </w:rPr>
        <w:t>E. 4.4</w:t>
      </w:r>
    </w:p>
    <w:p>
      <w:r>
        <w:t>La créance en paiement du prix d'un ouvrage découlant d'un contrat d'entreprise se prescrit par 10 ans (cf. art. 127 CO).</w:t>
      </w:r>
    </w:p>
    <w:p>
      <w:r>
        <w:rPr>
          <w:b/>
        </w:rPr>
        <w:t>E. 4.5</w:t>
      </w:r>
    </w:p>
    <w:p>
      <w:r>
        <w:t>A teneur de l'art. 142 CO, le juge ne peut suppléer d'office le moyen résultant de la prescription. Le débiteur doit donc soulever l'exception de prescription dans le procès, en la forme et au stade définis par le droit procédural (ATF 119 III 108 consid. 3a; 94 II 26 consid. 4c; 80 III 41 consid. 2; arrêt du Tribunal fédéral 4A_327/2021 du 9 décembre 2021 consid. 4.1).</w:t>
      </w:r>
    </w:p>
    <w:p>
      <w:r>
        <w:rPr>
          <w:b/>
        </w:rPr>
        <w:t>E. 4.6</w:t>
      </w:r>
    </w:p>
    <w:p>
      <w:r>
        <w:t>En l'espèce, le premier juge a, à l'audience du 11 juin 2021, limité la procédure à la question de la prescription. Il ne pouvait en conséquence s'écarter du cadre défini sans violer le droit des parties à un procès équitable et au respect des règles de la bonne foi. Se pose en conséquence la question de savoir si, en se déterminant sur la nature des rapports noués entre les parties, le premier juge a respecté la limitation ordonnée. L'appelante a, dans sa demande en paiement, fondé la créance qu'elle prétend détenir à l'encontre de l'intimé pour les travaux réalisés dans son appartement sur l'existence d'un contrat d'entreprise entre elle-même et le précité, subsidiairement sur les règles sur l'enrichissement illégitime. L'intimé s'est prévalu de l'exception de prescription uniquement en cas d'application des règles sur l'enrichissement illégitime. Il n'a en revanche pas soutenu que la prescription serait également acquise si la conclusion d'un contrat d'entreprise, dont l'existence était contestée, devait être retenue. La résolution de la question de la prescription impliquait ainsi nécessairement de déterminer préalablement si les parties étaient ou non liées par un contrat</w:t>
      </w:r>
    </w:p>
    <w:p>
      <w:r>
        <w:t>- 13/21 -</w:t>
      </w:r>
    </w:p>
    <w:p>
      <w:r>
        <w:t>C/12308/2020 d'entreprise valable. En effet, en présence d'un tel contrat, une éventuelle prescription de la créance invoquée par l'appelante ne se posait pas, aucune exception en ce sens n'ayant été soulevée. Par ailleurs, bien que l'appelante ne formule aucun grief à cet égard, il sied de mentionner que le premier juge ne pouvait se dispenser, en l'absence d'un contrat d'entreprise, d'examiner, dans un second temps, si les travaux réalisés dans l'appartement de l'intimé reposaient sur un autre base contractuelle valable puisqu'une application des règles de prescription en matière d'enrichissement illégitime n'était possible que si les rapports des parties ne reposaient sur aucune cause juridique valable. La question de l'existence ou non d'un rapport contractuel valable à l'origine des travaux exécutés devait ainsi être impérativement résolue pour statuer sur une éventuelle prescription. L'appelante devait s'attendre à ce que la nature des relations unissant les parties soit déterminée avant de trancher la question de la prescription, puisqu'elle a elle- même indiqué, dans sa demande en paiement, que l'application des règles sur l'enrichissement illégitime supposait une absence de rapport contractuel entre les parties. Elle a d'ailleurs, lors de l'audience du 11 juin 2021, soit après que le premier juge a décidé de limiter la procédure à la question de prescription, sollicité l'audition de deux témoins afin, selon ses termes, de déterminer "si leur intervention étaient fondées sur un contrat", ce qui confirme qu'elle était consciente que la résolution de la question de la prescription impliquait préalablement de déterminer si les parties étaient liées par une relation contractuelle. Il ne résulte par ailleurs pas du dossier que les auditions auraient été limitées aux seules questions en lien avec le point de départ du délai de prescription. Au contraire, l'audition du premier témoin a notamment porté sur les interventions effectuées en faveur de l'intimé et la comptabilisation des heures de travail. Quant au second témoin, l'appelante a renoncé à son audition et n'a pas sollicité d'autres mesures d'instruction. Il n'apparaît ainsi pas que l'appelante aurait été empêchée de se déterminer sur la nature des relations nouées par les parties, respectivement de faire valoir ses moyens de preuve à cet égard. C'est en conséquence à tort que l'appelante reproche au premier juge d'avoir examiné la question de l'existence d'un contrat d'entreprise, respectivement d'avoir statué sur cette question sans disposer de tous les éléments nécessaires.</w:t>
      </w:r>
    </w:p>
    <w:p>
      <w:r>
        <w:rPr>
          <w:b/>
        </w:rPr>
        <w:t>E. 5</w:t>
      </w:r>
    </w:p>
    <w:p>
      <w:r>
        <w:t>L'appelante reproche au premier juge d'avoir violé son droit d'être entendue et commis un déni de justice formel en omettant de prendre en compte certains de ses allégués pertinents, en retenant la date de la fin des travaux comme point de départ pour la prescription sur la base d'une motivation insuffisante et en ne se prononçant pas "de manière adéquate" sur l'existence d'un contrat d'entreprise.</w:t>
      </w:r>
    </w:p>
    <w:p>
      <w:r>
        <w:rPr>
          <w:b/>
        </w:rPr>
        <w:t>E. 5.1</w:t>
      </w:r>
    </w:p>
    <w:p>
      <w:r>
        <w:t>La jurisprudence a déduit du droit d'être entendu de l'art. 29 al. 2 Cst. l'obligation pour l'autorité de motiver sa décision, afin que l'intéressé puisse se</w:t>
      </w:r>
    </w:p>
    <w:p>
      <w:r>
        <w:t>- 14/21 -</w:t>
      </w:r>
    </w:p>
    <w:p>
      <w:r>
        <w:t>C/12308/2020 rendre compte de la portée de celle-ci et l'attaquer en connaissance de cause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w:t>
      </w:r>
    </w:p>
    <w:p>
      <w:r>
        <w:rPr>
          <w:b/>
        </w:rPr>
        <w:t>E. 5.2</w:t>
      </w:r>
    </w:p>
    <w:p>
      <w:r>
        <w:t>Selon la jurisprudence, commet un déni de justice formel proscrit par l'art. 29 al. 1 Cst. l'autorité qui ne traite pas un grief relevant de sa compétence, motivé de façon suffisante et pertinent pour l'issue du litige (ATF 142 II 154 consid. 4.2; 141 V 557 consid. 3.2.1; 135 I 6 consid. 2.1).</w:t>
      </w:r>
    </w:p>
    <w:p>
      <w:r>
        <w:rPr>
          <w:b/>
        </w:rPr>
        <w:t>E. 5.3</w:t>
      </w:r>
    </w:p>
    <w:p>
      <w:r>
        <w:t>En l'espèce, le fait que le premier juge aurait omis de prendre en compte des faits pertinents pour l'issue du litige ne relève ni de la violation du droit d'être entendu ni du déni de justice formel mais de la constatation inexacte des faits, grief qui a déjà été traité (cf. consid. 3). En outre, dans la mesure où l'appelante ne reproche pas au premier juge de ne pas avoir examiné les problématiques soulevées mais uniquement d'avoir procédé à un traitement sommaire de celles-ci, les conditions pour retenir un déni de justice formel ne sont pas réunies.</w:t>
      </w:r>
    </w:p>
    <w:p>
      <w:r>
        <w:t>Par ailleurs, le fait que la motivation du premier juge relativement à l'existence d'un contrat d'entreprise serait insatisfaisante ne saurait suffire à retenir une violation du droit d'être entendu. Encore faudrait-il que cette motivation ne permette pas aux parties de saisir les motifs qui ont conduit au jugement querellé, ce que l'appelante ne soutient pas.</w:t>
      </w:r>
    </w:p>
    <w:p>
      <w:r>
        <w:t>Enfin, le premier juge a exposé pour quel motif il convenait de fixer le point de départ du délai de prescription à la date de la fin des travaux, puisqu'il a indiqué retenir cette date en raison du fait que l'appelante n'avait pas désigné les personnes qui devaient être informées de la fourniture des travaux à titre gratuit. Contrairement à ce que soutient l'appelante, ces explications sont suffisantes pour comprendre le raisonnement du premier juge et l'attaquer en connaissance de cause. La question de savoir si la motivation retenue par le premier juge est ou non erronée ne relève pas de la violation du droit d'être entendu mais du droit de fond.</w:t>
      </w:r>
    </w:p>
    <w:p>
      <w:r>
        <w:t>Au vu de ce qui précède, les griefs de violation du droit d'être entendu et de déni de justice formel soulevés par l'appelante sont infondés.</w:t>
      </w:r>
    </w:p>
    <w:p>
      <w:r>
        <w:t>- 15/21 -</w:t>
      </w:r>
    </w:p>
    <w:p>
      <w:r>
        <w:t>C/12308/2020</w:t>
      </w:r>
    </w:p>
    <w:p>
      <w:r>
        <w:rPr>
          <w:b/>
        </w:rPr>
        <w:t>E. 6</w:t>
      </w:r>
    </w:p>
    <w:p>
      <w:r>
        <w:t>L'appelante reproche au premier juge d'avoir violé l'art. 363 CO en considérant qu'elle n'avait pas allégué que l'intimé aurait sollicité qu'elle réalise des travaux dans son appartement contre rémunération, de sorte que l'existence d'un contrat d'entreprise devait être niée. Elle soutient avoir indiqué, dans sa demande en paiement, que l'intimé l'avait mandatée pour effectuer des travaux dans son appartement et qu'elle lui avait adressé une facture pour les prestations fournies. Elle avait connaissance que plusieurs de ses employés avaient accompli des travaux dans l'appartement de l'intimé, mais ignorait que ce dernier et C______ étaient convenus que ces travaux ne seraient pas facturés. Le jugement entrepris n'expliquait pas pour quelle raison elle aurait, compte tenu de l'ampleur des travaux, accepté de les réaliser à titre gratuit. En outre, l'absence de facturation des travaux entre 2007 et septembre 2013 ne permettait pas de démontrer qu'elle aurait accepté une gratuité dès lors que rien n'indiquait qu'il ne serait pas possible de facturer l'ensemble des travaux exécutés à la fin du chantier. Le fait que, selon le procès-verbal de l'audience du 5 novembre 2014 tenue devant le Ministère public, l'intimé avait envisagé qu'une visite de son appartement soit organisée pour chiffrer la valeur des travaux effectués et que C______ avait estimé le coût des travaux entre 20'000 et 22'000 fr. démontrait que l'intimé savait qu'il était lié par un contrat d'entreprise. Elle s'était ainsi obligée à exécuter des travaux en faveur de l'intimé moyennant un prix que celui-ci s'était engagé à lui payer.</w:t>
      </w:r>
    </w:p>
    <w:p>
      <w:r>
        <w:rPr>
          <w:b/>
        </w:rPr>
        <w:t>E. 6.1</w:t>
      </w:r>
    </w:p>
    <w:p>
      <w:r>
        <w:t>Conformément à la maxime des débats (art. 55 al. 1 CPC), applicable au présent litige (cf. consid. 1.2),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ATF 144 III 519 consid. 5.1).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w:t>
      </w:r>
    </w:p>
    <w:p>
      <w:r>
        <w:t>- 16/21 -</w:t>
      </w:r>
    </w:p>
    <w:p>
      <w:r>
        <w:t>C/12308/2020 ATF 144 III 519 consid. 5.2.1.1; 136 III 322 consid. 3.4.2 = JdT 2011 II 537; 127 III 365 consid. 2b; CHABLOZ, Petit commentaire CPC, 2020, n. 5 à 7 ad art. 55 CPC).</w:t>
      </w:r>
    </w:p>
    <w:p>
      <w:r>
        <w:rPr>
          <w:b/>
        </w:rPr>
        <w:t>E. 6.2</w:t>
      </w:r>
    </w:p>
    <w:p>
      <w:r>
        <w:t>Le contrat d'entreprise est un contrat par lequel une des parties (l'entrepreneur) s'oblige à exécuter un ouvrage, moyennant un prix que l'autre partie (le maître) s'engage à lui payer (art. 363 CO). La conclusion du contrat n'est pas subordonnée au respect d'une forme particulière, il suffit que les parties aient tacitement manifesté leur accord (CHAIX, Commentaire romand CO I, 3ème éd., 2021, n. 14 ad art. 363 CO et les références citées).</w:t>
      </w:r>
    </w:p>
    <w:p>
      <w:r>
        <w:t>L'obligation de rémunérer l'entrepreneur est un élément essentiel, sans lequel la qualification de contrat d'entreprise ne peut pas être retenue (ATF 122 III 10 consid. 3). Il n'est cependant pas nécessaire que le montant de cette rémunération soit fixé d'avance (CHAIX, op. cit., n. 3 ad art. 363 CO). Il est fréquent en pratique que l'entrepreneur octroie au maître des réductions sur le prix de l'ouvrage sous forme d'escompte (déduction calculée en pour cent du montant de la rémunération accordée en cas de paiement immédiat ou à bref délai) ou de rabais (réduction allouée contractuellement indépendamment du moment du paiement; TERCIER/BIERI/CARRON, Les contrats spéciaux, 5ème éd., 2016, n. 3966, p. 547).</w:t>
      </w:r>
    </w:p>
    <w:p>
      <w:r>
        <w:t>La preuve du caractère onéreux du contrat incombe à l'entrepreneur (ATF 127 III 519 consid. 2a). Le paiement du prix peut être convenu tacitement. Tel est le cas lorsqu'on peut déduire des circonstances du cas d'espèce que l'ouvrage en question suppose habituellement une rémunération, notamment si l'entrepreneur agit dans le cadre de son activité professionnelle, même lorsqu'il entretient des rapports d'amitié avec son cocontractant. Il s'agit alors d'une présomption réfragable du caractère onéreux du contrat et il appartient au maître de la détruire par la preuve de faits contraires (arrêt du Tribunal fédéral 4C.421/2006 du 4 avril 2007 consid. 2.1; CHAIX, op. cit., n. 4 ad art. 363 CO). Lorsque le caractère onéreux du contrat fait défaut, la qualification de contrat d'entreprise est exclue (ATF 127 III 519 consid. 2b; 122 III 10 consid. 3). La doctrine actuelle considère qu'il s'agit alors d'un contrat innommé (ATF 127 III 519 consid. 2b; CHAIX, op. cit., n. 5 ad art. 363 CO; ZINDEL/SCHOTT, Commentaire bâlois, 7ème éd., 2020, n. 6 ad art. 363 CO; TERCIER/BIERI/CARRON, op. cit., n. 3505 p. 474 et n. 3965, p. 546; GAUCH, Le contrat d'entreprise, adaptation française par Benoît Carron, 1999, n. 115, p. 35 et n. 317, p. 99; BÜHLER, Commentaire zurichois, 3ème éd., 1998, n. 68 ad art. 363 CO; KOLLER, Commentaire bernois, 1998, n. 51 ad art. 363 CO).</w:t>
      </w:r>
    </w:p>
    <w:p>
      <w:r>
        <w:rPr>
          <w:b/>
        </w:rPr>
        <w:t>E. 6.3</w:t>
      </w:r>
    </w:p>
    <w:p>
      <w:r>
        <w:t>Les contrats innommés sont tous ceux qui ne font l'objet d'aucune réglementation spécifique de la loi, parmi lesquels figurent les contrats mixtes (TERCIER/BIERI/CARRON, op. cit., n. 311 à 314, p. 44).</w:t>
      </w:r>
    </w:p>
    <w:p>
      <w:r>
        <w:t>- 17/21 -</w:t>
      </w:r>
    </w:p>
    <w:p>
      <w:r>
        <w:t>C/12308/2020 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(gemischter Vertrag) ou d'un contrat composé (ou complexe ou couplé; zusammengesetzter Vertrag), qui doit être appréhendé comme un seul et unique accord. On parle de contrat composé lorsque la convention réunit plusieurs contrats distincts, mais dépendants entre eux. Il y a contrat mixte lorsqu'une seule convention comprend des éléments relevant de plusieurs contrats nommés (ATF 131 III 528 consid. 7).</w:t>
      </w:r>
    </w:p>
    <w:p>
      <w:r>
        <w:t>La présence d'un contrat innommé mixte est en particulier admise lorsque la rémunération due pour la prestation de l'entrepreneur consiste dans l'exécution d'un autre ouvrage ou dans une prestation principale relevant d'un autre type de contrat (notamment dans le transfert de la propriété d'un objet de valeur, dans la cession de l'usage d'une chose, etc.; GAUCH, op. cit., n. 326, p. 103).</w:t>
      </w:r>
    </w:p>
    <w:p>
      <w:r>
        <w:rPr>
          <w:b/>
        </w:rPr>
        <w:t>E. 6.4</w:t>
      </w:r>
    </w:p>
    <w:p>
      <w:r>
        <w:t>Le dépôt est un contrat par lequel le dépositaire s'oblige envers le déposant à recevoir une chose mobilière que celui-ci lui confie et à la garder en lieu sûr (art. 472 al. 1 CO). Le dépôt peut être conclu expressément ou par actes concluants (ATF 126 III 192 consid. 2c; 108 II 449 consid. 3a). Le dépositaire ne peut exiger une rémunération que si elle a été expressément stipulée, ou si, eu égard aux circonstances, il devait s'attendre à être rémunéré (art. 472 al. 2 CO).</w:t>
      </w:r>
    </w:p>
    <w:p>
      <w:r>
        <w:rPr>
          <w:b/>
        </w:rPr>
        <w:t>E. 6.5</w:t>
      </w:r>
    </w:p>
    <w:p>
      <w:r>
        <w:t>En l'espèce, il est constant qu'en effectuant des travaux d'électricité dans l'appartement de l'intimé, l'appelante a exécuté un ouvrage. Seule l'existence d'un engagement de l'intimé à verser une rémunération est litigieuse. Il résulte du dossier que l'appelante est intervenue dans l'appartement de l'intimé dans le cadre de son activité professionnelle, ce qui crée une présomption du caractère onéreux du contrat. Il appartenait ainsi à l'intimé de démontrer la gratuité des prestations fournies. L'appelante a toutefois allégué, dans sa demande en paiement, qu'il aurait initialement été prévu que les travaux ne seraient pas facturés à titre de geste commercial pour les contrats qui lui avaient été attribués par E______ SA. Le premier juge en a déduit que l'appelante ne soutenait pas que l'intimé aurait sollicité la réalisation de travaux contre rémunération. L'intimé a, dans ses écritures de première instance, également allégué qu'il avait été convenu que les travaux seraient effectués gracieusement en guise de réduction de 10% sur les contrats conclus entre E______ SA et l'appelante, une telle réduction étant usuellement consentie dans le cadre d'affaires importantes. Contrairement à ce qu'a retenu le premier juge, ces allégués ne permettaient pas de retenir une gratuité des travaux réalisés et, partant, d'exclure la conclusion d'un contrat d'entreprise. En effet, le fait que l'intimé, au nom et pour le compte de</w:t>
      </w:r>
    </w:p>
    <w:p>
      <w:r>
        <w:t>- 18/21 -</w:t>
      </w:r>
    </w:p>
    <w:p>
      <w:r>
        <w:t>C/12308/2020 E______ SA, ait, dans le cadre des contrats conclus entre celle-ci et l'appelante, renoncé à l'application d'une réduction de 10% usuellement appliquée sur le prix de l'ouvrage peut être considéré comme une rémunération. L'intimé a d'ailleurs exposé que le prix des travaux avait été estimé à environ 22'000 fr. par C______ et représentait 10% à 12% du coût des contrats conclus entre E______ SA et l'appelante. Rien n'indique au demeurant que le contrat d'entreprise ne serait pas valable. En particulier, l'appelante a admis que C______ disposait du pouvoir de conclure seul des contrats à titre onéreux pour la société et l'intimé a allégué que les organes dirigeants de E______ SA avaient connaissance de l'arrangement convenu. Par ailleurs, il sied de relever que l'appelante a soutenu qu'il aurait, dans un second temps, été convenu qu'en contrepartie de l'exécution des travaux litigieux, l'intimé accepterait d'entreposer à titre gratuit 63 bobines de cuivre lui appartenant. Cette version des faits semble être confirmée par C______ qui a déclaré, lors de son audition par le Ministère public, que l'intimé avait, en contrepartie de l'installation de l'équipement électrique dans son appartement, accepté de mettre à disposition de l'appelante une surface de stockage pour l'entreposage de 63 bobines de câbles en cuivre. Dans une telle hypothèse, il conviendrait alors de retenir l'existence d'un contrat mixte, comprenant des éléments du contrat d'entreprise et du contrat de dépôt, impliquant des prestations et contreprestations, excluant la gratuité.</w:t>
      </w:r>
    </w:p>
    <w:p>
      <w:r>
        <w:t>La nature exacte des rapports juridiques noués entre les parties peut demeurer indécise, compte tenu de la limitation de la procédure à la question de la prescription. En effet, quelle que soit la solution retenue, la relation liant les parties revêt un caractère contractuel onéreux. Cette constatation suffit pour écarter toute prescription, l'exception de prescription ayant été soulevée uniquement en cas d'application des règles sur l'enrichissement illégitime. Le fait que l'appelante ait finalement, à la demande de l'intimé, accepté de s'acquitter du coût de l'entreposage des bobines n'est pas de nature à remettre en cause la qualification retenue. En effet, dans la mesure où l'appelante a persisté à réclamer une rémunération pour les travaux réalisés en adressant une facture à l'intimé, il y a lieu de l'interpréter comme une simple modification contractuelle des modalités de paiement initialement convenues.</w:t>
      </w:r>
    </w:p>
    <w:p>
      <w:r>
        <w:t>Ainsi, au vu de ce qui précède, si c'est à juste titre que le premier juge a considéré que la prétention formulée par l'appelante avait un fondement contractuel, c'est en revanche à tort qu'il a retenu l'existence d'un contrat innommé gratuit, admis l'exception de prescription et rendu une décision finale déboutant l'appelante de ses conclusions.</w:t>
      </w:r>
    </w:p>
    <w:p>
      <w:r>
        <w:t>- 19/21 -</w:t>
      </w:r>
    </w:p>
    <w:p>
      <w:r>
        <w:t>C/12308/2020</w:t>
      </w:r>
    </w:p>
    <w:p>
      <w:r>
        <w:t>Le jugement entrepris sera en conséquence annulé, l'exception de prescription rejetée et la cause renvoyée en première instance afin qu'il soit statué sur le bien- fondé des conclusions en paiement formulées par l'appelante à l'encontre de l'intimé.</w:t>
      </w:r>
    </w:p>
    <w:p>
      <w:r>
        <w:rPr>
          <w:b/>
        </w:rPr>
        <w:t>E. 7.1</w:t>
      </w:r>
    </w:p>
    <w:p>
      <w:r>
        <w:t>La procédure d'appel se clôturant par une décision de renvoi, l'issue finale du litige ne peut être déterminée. Le sort des frais de première instance devra en conséquence être tranché par l'autorité précédente dans le cadre du nouveau jugement à prononcer.</w:t>
      </w:r>
    </w:p>
    <w:p>
      <w:r>
        <w:t>Il n'y a ainsi pas lieu d'examiner les griefs formulés par l'appelante relativement aux frais de procédure retenus par le premier juge.</w:t>
      </w:r>
    </w:p>
    <w:p>
      <w:r>
        <w:rPr>
          <w:b/>
        </w:rPr>
        <w:t>E. 7.2</w:t>
      </w:r>
    </w:p>
    <w:p>
      <w:r>
        <w:t>Les frais judiciaires de la procédure d'appel seront arrêtés à 9'000 fr. (art. 17 et 35 du Règlement fixant le tarif des frais en matière civile [RTFMC]) et mis à la charge de l'intimé qui succombe (art. 106 al. 1 CPC). Ils seront compensés avec l'avance de frais, d'un montant correspondant, fournie par l'appelante, laquelle reste acquise à l'Etat de Genève (art. 111 al. 1 CPC). L'intimé sera en conséquence condamné à rembourser à l'appelante la somme de 9'000 fr. à titre de frais judiciaires avancés par elle. L'intimé sera également condamné à s'acquitter des dépens de l'appelante, lesquels seront arrêtés à 9'000 fr., débours et TVA inclus (art. 84, 85, 87 et 90 RTFMC; 25 et 26 LaCC). * * * * *</w:t>
      </w:r>
    </w:p>
    <w:p>
      <w:r>
        <w:t>- 20/21 -</w:t>
      </w:r>
    </w:p>
    <w:p>
      <w:r>
        <w:t>C/12308/2020 PAR CES MOTIFS, La Chambre civile : A la forme : Déclare recevable l'appel interjeté le 13 juillet 2023 par A______ SA contre le jugement JTPI/6960/2022 rendu le 9 juin 2022 par le Tribunal de première instance dans la cause C/12308/2020-1. Au fond : Annule le jugement entrepris. Rejette l'exception de prescription soulevée par B______. Renvoie la cause au Tribunal de première instance pour la suite de la procédure et nouvelle décision. Sur les frais : Arrête les frais judiciaires d'appel à 9'000 fr., les met à la charge de B______ et dit qu'ils sont compensés avec l'avance de frais fournie par A______ SA, laquelle reste acquise à l'Etat de Genève. Condamne B______ à verser à A______ SA les sommes de 9'000 fr. à titre de remboursement des frais judiciaires d'appel et de 9'000 fr. à titre de dépens d'appel. Siégeant : Madame Ursula ZEHETBAUER GHAVAMI, présidente; Madame Nathalie RAPP, Monsieur Jean REYMOND, juges; Madame Jessica ATHMOUNI, greffière.</w:t>
      </w:r>
    </w:p>
    <w:p>
      <w:r>
        <w:t>- 21/21 -</w:t>
      </w:r>
    </w:p>
    <w:p>
      <w:r>
        <w:t>C/12308/2020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