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ACJC/1308/2020 vom 23. April 2020</w:t>
      </w:r>
    </w:p>
    <w:p>
      <w:r>
        <w:t>GE Cour de justice, 2020-04-23, FR</w:t>
      </w:r>
    </w:p>
    <w:p>
      <w:r>
        <w:rPr>
          <w:b/>
        </w:rPr>
        <w:t xml:space="preserve">Quelle: </w:t>
      </w:r>
      <w:r>
        <w:t>https://mcp.opencaselaw.ch/entscheid/ge_gerichte_ACJC_1308_2020</w:t>
      </w:r>
    </w:p>
    <w:p>
      <w:r>
        <w:t>FR: GE_GERICHTE ACJC/1308/2020 du 23 avril 2020</w:t>
      </w:r>
    </w:p>
    <w:p>
      <w:r>
        <w:t>IT: GE_GERICHTE ACJC/1308/2020 del 23 aprile 2020</w:t>
      </w:r>
    </w:p>
    <w:p>
      <w:pPr>
        <w:pStyle w:val="Heading2"/>
      </w:pPr>
      <w:r>
        <w:t>Erwägungen</w:t>
      </w:r>
    </w:p>
    <w:p>
      <w:r>
        <w:rPr>
          <w:b/>
        </w:rPr>
        <w:t>E. 2</w:t>
      </w:r>
    </w:p>
    <w:p>
      <w:r>
        <w:t>et 3), et à verser à celle-ci 2'368 fr. à titre de dépens (ch. 4). B. Par acte du 13 mai 2020, A______ a formé recours contre la décision précitée. Il n'a pas pris de conclusions expresses, terminant son écriture ainsi : "Il faudrait qu'un juge reconnaisse la somme réelle et fasse débloquer C______". Il s'est prévalu d'une part de ce qu'il n'aurait pas été "au courant" de l'audience du Tribunal du 6 mars 2020, sans pouvoir déterminer si le courrier avait été mal acheminé ou si sa secrétaire était à l'origine du problème, d'autre part de ce qu'il avait divers griefs de fond à l'endroit de B______ AG, respectivement de C______ SA (dont il a notamment allégué qu'elle avait été rachetée par la précitée). B______ AG a conclu au rejet du recours, avec suite de frais et dépens. Par avis du 29 juillet 2020, les parties ont été informées de ce que la cause était gardée à juger, A______ n'ayant pas fait usage de son droit de réplique. C. Il résulte de la procédure les faits pertinents suivants : a. Le 3 décembre 2018, le Bezirksgericht de D______ (SZ) a rendu un jugement, définitif et exécutoire, expédié le 4 décembre 2018, par lequel il a condamné A______ à verser à B______ AG 87'097 fr. 11 avec intérêts moratoires à 7,5% l'an dès le 1er décembre 2017, ainsi que 4'000 fr. à titre de remboursement de frais judiciaires et 5'000 fr. de dépens. b. A la requête de B______ AG, l'Office des poursuites a fait notifier à A______ un commandement de payer, poursuite n° 1______, portant sur 87'097 fr. 11, avec intérêts moratoires à 7,5% l'an dès le 1er décembre 2017 (poste 1), 4'000 fr. avec intérêts moratoires à 5% l'an dès le</w:t>
      </w:r>
    </w:p>
    <w:p>
      <w:r>
        <w:rPr>
          <w:b/>
        </w:rPr>
        <w:t>E. 2.1</w:t>
      </w:r>
    </w:p>
    <w:p>
      <w:r>
        <w:t>Selon l'art. 138 al. 1 CPC, les citations, les ordonnances et les décisions sont notifiées par envoi recommandé ou d'une autre manière contre accusé de</w:t>
      </w:r>
    </w:p>
    <w:p>
      <w:r>
        <w:t>- 4/6 -</w:t>
      </w:r>
    </w:p>
    <w:p>
      <w:r>
        <w:t>C/19091/2019 réception. L'acte est réputé notifié lorsqu'il a été remis au destinataire, à un de ses employés ou à la personne de seize ans au moins vivant dans le même ménage. Aux termes de l'art. 138 al. 3 let. a CPC concernant les envois recommandés, la notification est réputée avoir eu lieu si l'envoi n'a pas été retiré à l'expiration du délai de sept jours à compter de l'échec de la remise.</w:t>
      </w:r>
    </w:p>
    <w:p>
      <w:r>
        <w:rPr>
          <w:b/>
        </w:rPr>
        <w:t>E. 2.2</w:t>
      </w:r>
    </w:p>
    <w:p>
      <w:r>
        <w:t>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Le droit d'être entendu est une garantie constitutionnelle de caractère formel, dont la violation entraîne en principe l'annulation de la décision attaquée, indépendamment des chances de succès du recours au fond.</w:t>
      </w:r>
    </w:p>
    <w:p>
      <w:r>
        <w:rPr>
          <w:b/>
        </w:rPr>
        <w:t>E. 2.3</w:t>
      </w:r>
    </w:p>
    <w:p>
      <w:r>
        <w:t>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w:t>
      </w:r>
    </w:p>
    <w:p>
      <w:r>
        <w:t>- 5/6 -</w:t>
      </w:r>
    </w:p>
    <w:p>
      <w:r>
        <w:t>C/19091/2019</w:t>
      </w:r>
    </w:p>
    <w:p>
      <w:r>
        <w:rPr>
          <w:b/>
        </w:rPr>
        <w:t>E. 2.4</w:t>
      </w:r>
    </w:p>
    <w:p>
      <w:r>
        <w:t>En l'espèce, la thèse que soutient le recourant relative à des manquements de sa secrétaire est ruinée par le fait que les convocations successives aux audiences du Tribunal, de même que le jugement attaqué, ont été envoyées au domicile français du recourant et non à son adresse professionnelle suisse; sa thèse non étayée relative à un problème d'acheminement postal ne convainc guère plus. En revanche, il apparaît qu'au jour de l'audience du premier juge, aucun élément du dossier ne permettait d'établir que le recourant, qui ne comparaissait pas, avait été régulièrement atteint. Il est ultérieurement apparu, vu la mention apposée par la poste sur le pli retourné au Tribunal, que le recourant n'avait pas réclamé son envoi. A supposer que le retour de l'envoi ait eu lieu antérieurement à l'audience, que la fiction de notification n'aurait pas trouvé application, s'agissant de l'expédition de la convocation assortie de la requête de mainlevée formée par l'intimée, ainsi que le rappelle la jurisprudence précitée. C'est ainsi en violation du droit d'être entendu du recourant, lequel n'avait pas été cité régulièrement, que le Tribunal a rendu le jugement attaqué. Il s'ensuit que cette décision sera annulée. La cause sera renvoyée au premier juge, qui veillera à citer valablement le recourant à comparaître, avant de statuer à nouveau.</w:t>
      </w:r>
    </w:p>
    <w:p>
      <w:r>
        <w:rPr>
          <w:b/>
        </w:rPr>
        <w:t>E. 3</w:t>
      </w:r>
    </w:p>
    <w:p>
      <w:r>
        <w:t>Vu l'issue du recours, les frais du recours, arrêtés à 750 fr., seront laissés à la charge du canton (art. 107 al. 2 CPC), et l'avance de frais versée par le recourant lui sera ainsi restituée.</w:t>
      </w:r>
    </w:p>
    <w:p>
      <w:r>
        <w:t>Il ne sera pas alloué de dépens au recourant, qui n'en a pas sollicité. * * * * *</w:t>
      </w:r>
    </w:p>
    <w:p>
      <w:r>
        <w:t>- 6/6 -</w:t>
      </w:r>
    </w:p>
    <w:p>
      <w:r>
        <w:t>C/19091/2019 PAR CES MOTIFS, La Chambre civile : A la forme : Déclare recevable le recours formé le 13 mai 2020 par A______ contre le jugement JTPI/4684/2020 rendu le 23 avril 2020 par le Tribunal de première instance dans la cause C/19091/2019-16 SML. Au fond : Annule ce jugement. Renvoie la cause au Tribunal pour nouvelle décision. Déboute les parties de toutes autres conclusions de recours. Sur les frais : Arrête les frais du recours à 750 fr., et les met à la charge de l'ETAT DE GENEVE. Invite l'Etat de Genève, soit pour lui les Services financiers du Pouvoir judiciaire à restituer 750 fr. à A______.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