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ACJC/1308/2015 vom 3. November 2015</w:t>
      </w:r>
    </w:p>
    <w:p>
      <w:r>
        <w:t>GE Cour de justice, 2015-11-03, FR</w:t>
      </w:r>
    </w:p>
    <w:p>
      <w:r>
        <w:rPr>
          <w:b/>
        </w:rPr>
        <w:t xml:space="preserve">Quelle: </w:t>
      </w:r>
      <w:r>
        <w:t>https://mcp.opencaselaw.ch/entscheid/ge_gerichte_ACJC_1308_2015</w:t>
      </w:r>
    </w:p>
    <w:p>
      <w:r>
        <w:t>FR: GE_GERICHTE ACJC/1308/2015 du 3 novembre 2015</w:t>
      </w:r>
    </w:p>
    <w:p>
      <w:r>
        <w:t>IT: GE_GERICHTE ACJC/1308/2015 del 3 novembre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w:t>
      </w:r>
    </w:p>
    <w:p>
      <w:r>
        <w:t>- 8/17 -</w:t>
      </w:r>
    </w:p>
    <w:p>
      <w:r>
        <w:t>C/26486/2014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Les parties ont produit de nouvelles pièces en appel relatives à leur situation financière.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 TREZZINI/BERNASCONI [éd.], 2011, p. 1394; TAPPY, Les voies de droit du nouveau Code de procédure civile, in JdT 2010 III p. 115 ss, 139). Les pièces nouvelles produites par les parties sont ainsi recevables.</w:t>
      </w:r>
    </w:p>
    <w:p>
      <w:r>
        <w:t>- 9/17 -</w:t>
      </w:r>
    </w:p>
    <w:p>
      <w:r>
        <w:t>C/26486/2014</w:t>
      </w:r>
    </w:p>
    <w:p>
      <w:r>
        <w:rPr>
          <w:b/>
        </w:rPr>
        <w:t>E. 2</w:t>
      </w:r>
    </w:p>
    <w:p>
      <w:r>
        <w:t>L'appelant soulève l'exception d'incompétence ratione loci des tribunaux genevois en raison du domicile et de la résidence effective des enfants dans le canton du Jura.</w:t>
      </w:r>
    </w:p>
    <w:p>
      <w:r>
        <w:t>L'intimée relève que l'appelant était domicilié à F______ (GE) au moment de l'introduction de la demande, qu'il a en tout état procédé sans émettre de réserve et qu'il a lui-même déposé une demande en divorce devant les autorités genevoises.</w:t>
      </w:r>
    </w:p>
    <w:p>
      <w:r>
        <w:rPr>
          <w:b/>
        </w:rPr>
        <w:t>E. 2.1</w:t>
      </w:r>
    </w:p>
    <w:p>
      <w:r>
        <w:t>Le tribunal du domicile de l'une des parties est impérativement compétent pour statuer sur les requête et actions fondées sur le droit du mariage, ainsi que sur les requêtes en mesures provisionnelles (art. 23 al. 1 CPC). Cette disposition s'applique notamment aux mesures protectrices au sens étroit, prévues par les art. 172 ss CC, mais également à celles prévues, de manière plus large, par le renvoi de l'art. 176 al. 3 CC (SPYCHER, Berner Kommentar, Schweizerische Zivilprozess- ordnung, Bd I, 2012, n. 4 ad art. 23 CPC).</w:t>
      </w:r>
    </w:p>
    <w:p>
      <w:r>
        <w:t>La litispendance a notamment pour effet de fixer la compétence locale du tribunal saisi. Si les conditions de la compétence sont réunies au moment de l'introduction de l'instance (soit au dépôt de la requête en justice), elles le demeurent en cas de modification des circonstances en cours de procédure en vertu du principe de la perpetuatio fori (art. 62 al. 1 et 64 al. 1 let. b CPC; BOHNET, Code de procédure civile commenté, 2011, n. 4 ad art. 64 CPC).</w:t>
      </w:r>
    </w:p>
    <w:p>
      <w:r>
        <w:rPr>
          <w:b/>
        </w:rPr>
        <w:t>E. 2.2</w:t>
      </w:r>
    </w:p>
    <w:p>
      <w:r>
        <w:t>En l'espèce, les tribunaux genevois du domicile de l'appelant au moment du dépôt de la requête de mesures protectrices de l'union conjugale demeurent dès lors compétents pour statuer, et notamment régler les questions relatives aux enfants, indépendamment du fait que ces derniers soient domiciliés dans le canton de Genève ou le canton du Jura.</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w:t>
      </w:r>
    </w:p>
    <w:p>
      <w:r>
        <w:t>- 10/17 -</w:t>
      </w:r>
    </w:p>
    <w:p>
      <w:r>
        <w:t>C/26486/2014 dans des circonstances exceptionnelles (arrêt du Tribunal fédéral 5A_905/2011 du 28 mars 2012 consid. 2.5).</w:t>
      </w:r>
    </w:p>
    <w:p>
      <w:r>
        <w:rPr>
          <w:b/>
        </w:rPr>
        <w:t>E. 4</w:t>
      </w:r>
    </w:p>
    <w:p>
      <w:r>
        <w:t>L'appelant conteste les montants des contributions en faveur des enfants et de son épouse fixés par le premier juge. Il considère avoir suffisamment subvenu à l'entretien de sa famille entre décembre 2014 et juin 2015 en leur ayant versé la somme totale de 17'500 fr. et ne rien devoir, à ce titre, durant cette période. Dès le 1er juillet, il offre de verser 400 fr. pour C______ et 376 fr. pour D______. Il fait valoir que le Tribunal aurait dû tenir compte, pour son épouse, d'un revenu hypothétique de 3'800 fr. net par mois et, pour lui, d'indemnité de chômage d'un montant inférieur aux revenus qu'il percevait de son ancien employeur.</w:t>
      </w:r>
    </w:p>
    <w:p>
      <w:r>
        <w:rPr>
          <w:b/>
        </w:rPr>
        <w:t>E. 4.1</w:t>
      </w:r>
    </w:p>
    <w:p>
      <w:r>
        <w:t>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4.2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Les prestations pour l'entretien des enfants intègrent une participation à ses frais de logement, de sorte que le loyer imputé à l'époux attributaire de leur garde doit être diminué dans cette mesure (arrêts du Tribunal fédéral 5A_464/2012 du 30</w:t>
      </w:r>
    </w:p>
    <w:p>
      <w:r>
        <w:t>- 11/17 -</w:t>
      </w:r>
    </w:p>
    <w:p>
      <w:r>
        <w:t>C/26486/2014 novembre 2012 consid. 4.6.3 et 5P.370/2004 du 5 janvier 2005 consid. 4). La part de deux enfants au logement peut être fixée à 30% du loyer (BASTONS BULLETTI, L'entretien après divorce : méthodes de calcul, montant, durée et limites, in SJ 2007 II 77 ss, n. 140 p.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En tout état, le juge dispose d'un large pouvoir d'appréciation (art. 4 CC).</w:t>
      </w:r>
    </w:p>
    <w:p>
      <w:r>
        <w:rPr>
          <w:b/>
        </w:rPr>
        <w:t>E. 4.3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4c/bb). La capacité d'un des parents de pourvoir lui-même à son entretien est susceptible d'être limitée totalement ou partiellement par la charge que représente la garde des enfants. En principe, on ne peut exiger d'un époux la prise ou la reprise d'une activité lucrative à un taux de 50% avant que le plus jeune des enfants du couple n'ait atteint l'âge de 10 ans révolus, et de 100% avant qu'il n'ait atteint l'âge de 16 ans révolus (ATF 115 II 6 consid. 3c; arrêt 5A_319/2013 du 17 octobre 2013 consid. 2.3.3, publié in FamPra.ch 2014 p. 177). Ces lignes directrices sont toujours valables dès lors que la garde et les soins personnels sont dans l'intérêt des enfants en bas âge, ainsi que de ceux en âge de scolarité, et que ces soins personnels représentent un critère essentiel lors de l'attribution de la garde (ATF 137 III 102 consid. 4.2.2.2; arrêt du Tribunal fédéral 5A_210/2008 du 14 novembre 2008 consid. 3.2, non publié in ATF 135 III 158). Elles ne sont toutefois pas des règles strictes et leur application dépend des circonstances du cas concret (ATF 137 III 102 consid. 4.2.2.2; arrêt 5A_241/2010 du 9 novembre 2010 consid. 5.4.3), notamment de ce qui a été convenu durant la vie commune ou des capacités financières du couple (arrêts du Tribunal fédéral 5A_888/2013 du 20 mai 2014 consid. 3.1 et 5A_65/2013 du 4 septembre 2013 consid. 4.2.2).</w:t>
      </w:r>
    </w:p>
    <w:p>
      <w:r>
        <w:t>- 12/17 -</w:t>
      </w:r>
    </w:p>
    <w:p>
      <w:r>
        <w:t>C/26486/2014</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w:t>
      </w:r>
    </w:p>
    <w:p>
      <w:r>
        <w:rPr>
          <w:b/>
        </w:rPr>
        <w:t>E. 4.4</w:t>
      </w:r>
    </w:p>
    <w:p>
      <w:r>
        <w:t>Les parties ne contestent, à juste titre, pas l'application de la méthode du minimum vital pour la détermination de leur situation financière.</w:t>
      </w:r>
    </w:p>
    <w:p>
      <w:r>
        <w:rPr>
          <w:b/>
        </w:rPr>
        <w:t>E. 4.5</w:t>
      </w:r>
    </w:p>
    <w:p>
      <w:r>
        <w:t>L'appelant étant au chômage depuis le mois de juin 2015, il ne peut plus être retenu à son égard des revenus équivalent à ceux qu'il percevait précédemment. Ses revenus s'élèvent ainsi à environ 7'000 fr. correspondant aux indemnités- chômage auxquelles il a droit.</w:t>
      </w:r>
    </w:p>
    <w:p>
      <w:r>
        <w:t>C'est à juste titre que le premier juge a retenu l'ancien loyer de 1'130 fr. pour un appartement de 2,5 pièces à Genève en lieu et place du loyer de l'appelant s'élevant à 1'960 fr. pour un appartement de 4 pièces à G______, dans la mesure où les relations personnelles se déroulent dans un Point Rencontre, qu'il ne reçoit dès lors pas ses enfants chez lui et qu'une telle charge, au vu de ces circonstances, est injustifiée au regard de sa situation financière.</w:t>
      </w:r>
    </w:p>
    <w:p>
      <w:r>
        <w:t>Il convient, en revanche, de tenir compte de ses arriérés d'impôts d'un montant de 683 fr., dont le paiement régulier a été justifié. Tel ne sera pas le cas de la prime de Swisscaution, pour laquelle aucun renseignement n'a été fourni. Les charges incompressibles admissibles de l'appelant s'élèvent donc à environ 4'364 fr. par mois, comprenant les charges retenues par le premier juge (cf. supra EN FAIT let. C.k.a), ainsi que les arriérés d'impôts (683 fr.).</w:t>
      </w:r>
    </w:p>
    <w:p>
      <w:r>
        <w:t>L'appelant dispose ainsi d'un montant de 2'636 fr. par mois.</w:t>
      </w:r>
    </w:p>
    <w:p>
      <w:r>
        <w:t>- 13/17 -</w:t>
      </w:r>
    </w:p>
    <w:p>
      <w:r>
        <w:t>C/26486/2014</w:t>
      </w:r>
    </w:p>
    <w:p>
      <w:r>
        <w:rPr>
          <w:b/>
        </w:rPr>
        <w:t>E. 4.6</w:t>
      </w:r>
    </w:p>
    <w:p>
      <w:r>
        <w:t>L'intimée ne conteste pas le revenu hypothétique fixé à son égard par le premier juge d'un montant net de 2'550 fr. pour une activité à 50% pour un poste médical ou social dans le domaine de l'action sociale ou dans l'hébergement médico-social. L'on ne saurait, comme l'allègue l'appelant, retenir qu'elle pourrait travailler à un taux d'activité supérieur compte tenu de l'âge des enfants. Ses charges incompressibles s'élèvent à environ 2'422 fr. par mois (cf. supra EN FAIT let. C.k.b), comprenant à juste titre la prime d'assurance RC-ménage dès lors qu'elle est obligatoire selon son contrat de bail. L'intimée dispose ainsi d'un montant de 128 fr. par mois.</w:t>
      </w:r>
    </w:p>
    <w:p>
      <w:r>
        <w:rPr>
          <w:b/>
        </w:rPr>
        <w:t>E. 4.7</w:t>
      </w:r>
    </w:p>
    <w:p>
      <w:r>
        <w:t>S'agissant des enfants, les charges retenues par le premier juge à titre de frais de cuisines scolaires et parascolaires à midi (50 fr.) et de garderie (300 fr.) ne paraissent pas d'emblée excessifs contrairement à ce qu'allègue l'appelant. Il convient en outre de tenir compte du fait que D______ est scolarisé depuis la rentrée 2015 (art. 11 de l'Ordonnance scolaire du canton du Jura du 29 juin 1993 fixant l'âge de la scolarité obligatoire à 4 ans révolus au 31 juillet). Les charges incompressibles mensuelles s'élèvent ainsi à environ 715 fr. dès décembre 2014, puis 701 fr. dès juin 2015 pour C______, à savoir les charges retenues par le premier juge (944 fr. 70) sous déduction des allocations familiales perçues, soit 230 fr., puis 243 fr. 70 dès juin 2015. Celles de D______ se montent, quant à elles, à 705 fr. 50 dès décembre 2014, respectivement 693 fr. dès juin 2015 - à savoir les charges retenues par le premier juge (936 fr. 50) sous déduction des allocations familiales perçues -, puis à 443 fr. dès septembre 2015 - comprenant un montant de 50 fr. à titre de frais de cuisines scolaires et parascolaires à midi au lieu des frais de garderie.</w:t>
      </w:r>
    </w:p>
    <w:p>
      <w:r>
        <w:rPr>
          <w:b/>
        </w:rPr>
        <w:t>E. 4.8</w:t>
      </w:r>
    </w:p>
    <w:p>
      <w:r>
        <w:t>Il ressort dès lors de l'ensemble de ce qui précède qu'il se justifie, compte tenu de la situation financière respective des parties et, en particulier du fait que l'intimé dispose d'un solde de 2'636 fr. par mois, de faire supporter à l'appelant l'intégralité des charges des enfants. Par conséquent, il convient de fixer la contribution à l'entretien d'C______ à 750 fr. de décembre 2014 - le mois suivant le jour du dépôt de la requête - à mai 2015, puis à 700 fr. dès juin 2015 et celle de D______ à 700 fr. de décembre 2014 - à août 2015, puis à 500 fr. dès septembre 2015.</w:t>
      </w:r>
    </w:p>
    <w:p>
      <w:r>
        <w:rPr>
          <w:b/>
        </w:rPr>
        <w:t>E. 4.9</w:t>
      </w:r>
    </w:p>
    <w:p>
      <w:r>
        <w:t>S'agissant de la contribution due à l'intimée, les époux disposent de 1'314 fr. à se répartir entre décembre 2014 et mai 2015, de 1'364 fr. de juin à août 2015, puis de 1'564 fr. dès septembre 2015 (2'636 fr. de disponible pour l'appelant + 128 fr. de disponible pour l'intimée - entretien pour C______ [750 fr. ou 700 fr.] - entretien de D______ [700 fr. ou 500 fr.]).</w:t>
      </w:r>
    </w:p>
    <w:p>
      <w:r>
        <w:t>- 14/17 -</w:t>
      </w:r>
    </w:p>
    <w:p>
      <w:r>
        <w:t>C/26486/2014 Compte tenu du fait que l'épouse a la garde des enfants, dont elle assume les soins quotidiens et l'éducation, il se justifie de répartir l'excédent des époux à raison de deux-tiers pour l'épouse (respectivement 876 fr. de décembre 2014 à mai 2015, 910 fr. de juin à août 2015 et 1'042 fr. dès septembre 2015) et d'un tiers pour l'appelant. La contribution en faveur de l'intimée sera ainsi arrêtée à 900 fr. dès décembre 2014, puis à 1'100 fr. dès septembre 2015.</w:t>
      </w:r>
    </w:p>
    <w:p>
      <w:r>
        <w:rPr>
          <w:b/>
        </w:rPr>
        <w:t>E. 4.10</w:t>
      </w:r>
    </w:p>
    <w:p>
      <w:r>
        <w:t>Par conséquent, le ch. 5 du dispositif du jugement entrepris sera annulé et reformulé dans le sens de ce qui précède.</w:t>
      </w:r>
    </w:p>
    <w:p>
      <w:r>
        <w:rPr>
          <w:b/>
        </w:rPr>
        <w:t>E. 4.11</w:t>
      </w:r>
    </w:p>
    <w:p>
      <w:r>
        <w:t>Il convient, enfin, de tenir compte des contributions d'entretien dont l'appelant s'est dûment acquitté en mains de l'intimée (cf. supra EN FAIT let. D) depuis le dépôt de la demande en date du 22 novembre 2014, soit dès le 1er décembre 2014, à hauteur d'un montant total de 22'552 fr. (17'500 fr. + 776 fr. + 776 fr. + 3'500 fr.).</w:t>
      </w:r>
    </w:p>
    <w:p>
      <w:r>
        <w:t>Ledit montant sera compensé avec les contributions échues pour les mois de décembre 2014 à septembre 2015, l'appelant devant alors encore un reliquat à l'intimée de 748 fr. pour le mois de septembre 2015 (23'300 fr. dus - 22'552 fr. versés).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L'appelant, qui remet en cause les frais judiciaires fixés par le Tribunal, ne motive aucunement son appel sur cette question :</w:t>
      </w:r>
    </w:p>
    <w:p>
      <w:r>
        <w:t>Dès lors que tant la quotité que la répartition des frais et des dépens de première instance ont été arrêtés conformément aux règles légales (art. 95, 96, 104 al. 1, 107 al. 1 let. c CPC; art. 5 et 31 du Règlement fixant le tarif des greffes en matière civile, RTFMC - RS/GE E 1 05.10), le jugement entrepris sera confirmé sur ce point. 5.2 Les frais judiciaires de la procédure d'appel seront fixés à 2'000 fr. (art. 31 et 37 RTFMC). Pour des motifs d'équité liés à la nature et à l'issue du litige, ils seront répartis à parts égales entre les parties (art. 95, 104 al. 1, 105, 106 al. 1 et 107 al. 1 let. c CPC). Celles-ci plaidant au bénéfice de l'assistance judiciaire, leurs</w:t>
      </w:r>
    </w:p>
    <w:p>
      <w:r>
        <w:t>- 15/17 -</w:t>
      </w:r>
    </w:p>
    <w:p>
      <w:r>
        <w:t>C/26486/2014 parts seront provisoirement laissées à la charge de l'Etat (art. 122 al. 1 let. b et 123 CPC; art. 19 RAJ - RS/GE E 2 05.04). Pour les mêmes motifs, chaque partie supportera ses propres dépens (art. 107 al. 1 lit c. CPC). 6.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- 16/17 -</w:t>
      </w:r>
    </w:p>
    <w:p>
      <w:r>
        <w:t>C/26486/2014 PAR CES MOTIFS, La Chambre civile : A la forme : Déclare recevable l'appel interjeté le 29 juin 2015 par A______ contre les chiffres 5 et 6 du dispositif du jugement JTPI/7141/2015 rendu le 17 juin 2015 par le Tribunal de première instance dans la cause C/26486/2014-6. Au fond : Annule le chiffre 5 du dispositif du jugement entrepris. Cela fait, et statuant à nouveau : Condamne A______ à verser en mains de B______, par mois et d'avance, allocations familiales non comprises, à titre de contribution à l'entretien de l'enfant C______, la somme de 750 fr. dès le 1er décembre 2014, puis de 700 fr. dès le 1er juin 2015. Condamne A______ à verser en mains de B______, par mois et d'avance, allocations familiales non comprises, à titre de contribution à l'entretien de l'enfant D______, la somme de 700 fr. dès le 1er décembre 2014, puis de 500 fr. dès le 1er septembre 2015. Condamne A______ à verser en mains de B______, par mois et d'avance, la somme de 900 fr. dès le 1er décembre 2014, puis de 1'100 fr. dès le 1er septembre 2015 à titre de contribution à son propre entretien. Constate que A______ a versé, en mains de B______, un montant total de 22'552 fr. à titre de contributions d'entretien entre le 1er décembre 2014 et le 30 septembre 2015, ce montant couvrant les contributions dues jusqu'à cette date, sous réserve d'un reliquat de 748 fr., dû par A______ à B______. Compense dès lors ce montant de 22'552 fr. avec les contributions dues jusqu'au 30 septembre 2015. Condamne A______ à verser 748 fr. à B______ au titre de reliquat dû à cette date. Déboute les parties de toutes autres conclusions. Sur les frais : Confirme les chiffres 6 et 7 du dispositif du jugement entrepris.</w:t>
      </w:r>
    </w:p>
    <w:p>
      <w:r>
        <w:t>- 17/17 -</w:t>
      </w:r>
    </w:p>
    <w:p>
      <w:r>
        <w:t>C/26486/2014 Arrête les frais judiciaires de l'appel à 2'000 fr., les met à la charge des parties par moitié chacune, à savoir 1'000 fr. à la charge de A______ et 1'000 fr. à la charge de B______. Laisse provisoirement les frais de A______ et B______ à la charge de l'Etat.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2013 consid. 6.2.2).</w:t>
      </w:r>
    </w:p>
    <w:p>
      <w:r>
        <w:rPr>
          <w:b/>
        </w:rPr>
        <w:t>E. 10</w:t>
      </w:r>
    </w:p>
    <w:p>
      <w:r>
        <w:t>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arrêt du Tribunal fédéral 5A_442/2014 du 27 août 2014 consid. 3.2.1).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