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ACJC/1302/2021 vom 14. Oktober 2021</w:t>
      </w:r>
    </w:p>
    <w:p>
      <w:r>
        <w:t>GE Cour de justice, 2021-10-14, FR</w:t>
      </w:r>
    </w:p>
    <w:p>
      <w:r>
        <w:rPr>
          <w:b/>
        </w:rPr>
        <w:t xml:space="preserve">Quelle: </w:t>
      </w:r>
      <w:r>
        <w:t>https://mcp.opencaselaw.ch/entscheid/ge_gerichte_ACJC_1302_2021</w:t>
      </w:r>
    </w:p>
    <w:p>
      <w:r>
        <w:t>FR: GE_GERICHTE ACJC/1302/2021 du 14 octobre 2021</w:t>
      </w:r>
    </w:p>
    <w:p>
      <w:r>
        <w:t>IT: GE_GERICHTE ACJC/1302/2021 del 14 ottobre 2021</w:t>
      </w:r>
    </w:p>
    <w:p>
      <w:pPr>
        <w:pStyle w:val="Heading2"/>
      </w:pPr>
      <w:r>
        <w:t>Erwägungen</w:t>
      </w:r>
    </w:p>
    <w:p>
      <w:r>
        <w:rPr>
          <w:b/>
        </w:rPr>
        <w:t>E. 1</w:t>
      </w:r>
    </w:p>
    <w:p>
      <w:r>
        <w:t>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 montant de la contribution à l'entretien de l'épouse, il est de nature pécuniaire (ATF 133 III 393 consid. 2; arrêts du Tribunal fédéral 5A_42/2013 du 27 juin 2013 consid. 1.1; 5A_906/2012 du 18 avril 2013 consid. 1; 5A_236/2011 du 18 octobre 2011 consid. 1; 5A_511/2010 du 4 février 2011 consid. 1.1).</w:t>
      </w:r>
    </w:p>
    <w:p>
      <w:r>
        <w:t>- 7/16 -</w:t>
      </w:r>
    </w:p>
    <w:p>
      <w:r>
        <w:t>C/21707/2020 En l'espèce, en vertu de l'art. 92 al. 2 CPC, la capitalisation du montant de la contribution d'entretien restée litigieuse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précité; arrêt du Tribunal fédéral 5A_245/2019 du 1er juillet 2019 consid. 3.2.1).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(arrêts du Tribunal fédéral 4A_258/2015 du 21 octobre 2015 consid. 2.4.2 et les réf. cit.).</w:t>
      </w:r>
    </w:p>
    <w:p>
      <w:r>
        <w:rPr>
          <w:b/>
        </w:rPr>
        <w:t>E. 1.3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w:t>
      </w:r>
    </w:p>
    <w:p>
      <w:r>
        <w:t>- 8/16 -</w:t>
      </w:r>
    </w:p>
    <w:p>
      <w:r>
        <w:t>C/21707/2020 dans des circonstances exceptionnelles (arrêt du Tribunal fédéral 5A_905/2011 du 28 mars 2012 consid. 2.5).</w:t>
      </w:r>
    </w:p>
    <w:p>
      <w:r>
        <w:rPr>
          <w:b/>
        </w:rPr>
        <w:t>E. 1.4</w:t>
      </w:r>
    </w:p>
    <w:p>
      <w:r>
        <w:t>Un simple renvoi en bloc à des pièces du dossier en guise d'exposé des faits est en principe insuffisant (arrêts 4A_360/2020 du 2 novembre 2020 consid. 4.2; 4A_284/2017 du 22 janvier 2018 consid. 4.2 et les arrêts cités). La procédure simplifiée n'implique ainsi pas que le juge doive se plonger dans les pièces du dossier pour tenter d'y trouver des faits (arrêts du Tribunal fédéral 5A_465/2016 du 19 janvier 2017 consid. 6.2; 4A_195/2014 du 27 novembre 2014 consid. 7.3 et 4A_317/2014 du 17 octobre 2014 consid. 2.2).</w:t>
      </w:r>
    </w:p>
    <w:p>
      <w:r>
        <w:rPr>
          <w:b/>
        </w:rPr>
        <w:t>E. 1.5</w:t>
      </w:r>
    </w:p>
    <w:p>
      <w:r>
        <w:t>La Cour applique le droit d'office (art. 57 CPC). Conformément à l'art. 311 al.</w:t>
      </w:r>
    </w:p>
    <w:p>
      <w:r>
        <w:rPr>
          <w:b/>
        </w:rPr>
        <w:t>E. 1.6</w:t>
      </w:r>
    </w:p>
    <w:p>
      <w:r>
        <w:t>L'appelant conclut à l'irrecevabilité des déterminations de l'intimée dans lesquelles elle a ajouté des commentaires, au motif qu'elles sont confuses et peu claires.</w:t>
      </w:r>
    </w:p>
    <w:p>
      <w:r>
        <w:t>L'intimée conteste l'irrecevabilité des déterminations litigieuses et relève que l'appelant a procédé de la même manière qu'elle dans sa duplique.</w:t>
      </w:r>
    </w:p>
    <w:p>
      <w:r>
        <w:rPr>
          <w:b/>
        </w:rPr>
        <w:t>E. 1.6.1</w:t>
      </w:r>
    </w:p>
    <w:p>
      <w:r>
        <w:t>Les déterminations doivent être suffisamment claires pour savoir sur quelles allégations du requérant porte la contestation (ATF 131 III 433 consid 2.6). Elles doivent être précises et se rapporter à chaque fait isolément, ce qui nécessite que les allégations soient articulées distinctement (TAPPY, CR-CPC, 2018, n. 18 ad art. 222 CPC).</w:t>
      </w:r>
    </w:p>
    <w:p>
      <w:r>
        <w:rPr>
          <w:b/>
        </w:rPr>
        <w:t>E. 1.6.2</w:t>
      </w:r>
    </w:p>
    <w:p>
      <w:r>
        <w:t>En l'occurrence, les déterminations litigieuses - dans lesquelles l'intimée a pris position et a explicité celle-ci au moyen de commentaires - sont claires et, partant, recevables.</w:t>
      </w:r>
    </w:p>
    <w:p>
      <w:r>
        <w:rPr>
          <w:b/>
        </w:rPr>
        <w:t>E. 1.7</w:t>
      </w:r>
    </w:p>
    <w:p>
      <w:r>
        <w:t>Les chiffres 1 à 3 et 7 du dispositif du jugement entrepris n'étant pas remis en cause, ils sont entrés en force de chose jugée (art. 315 al. 1 CPC). Les chiffres 5 et</w:t>
      </w:r>
    </w:p>
    <w:p>
      <w:r>
        <w:rPr>
          <w:b/>
        </w:rPr>
        <w:t>E. 6</w:t>
      </w:r>
    </w:p>
    <w:p>
      <w:r>
        <w:t>relatifs aux frais et dépens pourront encore être revus d'office en cas d'annulation de tout ou partie du jugement entrepris dans le cadre du présent appel (art. 318 al. 3 CPC). 2. La cause présente un élément d'extranéité en raison de la nationalité de l'épouse.</w:t>
      </w:r>
    </w:p>
    <w:p>
      <w:r>
        <w:t>- 9/16 -</w:t>
      </w:r>
    </w:p>
    <w:p>
      <w:r>
        <w:t>C/21707/2020</w:t>
      </w:r>
    </w:p>
    <w:p>
      <w:r>
        <w:t>Les parties ne contestent, à juste titre, pas la compétence des autorités judiciaires genevoises (art. 46 LDIP) ni l'application du droit suisse (art. 48 al. 1 et 49 LDIP; art. 4 de la Convention de la Haye du 2 octobre 1973 sur la loi applicable aux obligations alimentaires ) au présent litige. 3. L'appelant remet en cause le versement d'une contribution à l'entretien de son épouse.</w:t>
      </w:r>
    </w:p>
    <w:p>
      <w:r>
        <w:t>Il fait valoir que la situation financière des parties a été mal évaluée, que l'intimée est en mesure de couvrir ses charges et qu'au vu des propres charges qu'il allègue, les soldes disponibles retenus par le Tribunal sont erronés.</w:t>
      </w:r>
    </w:p>
    <w:p>
      <w:r>
        <w:t>3.1 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de l'union conjugale ne doit pas trancher, même sous l'angle de la vraisemblance, les questions de fond, objet du procès en divorce, en particulier celle de savoir si le mariage a influencé</w:t>
      </w:r>
    </w:p>
    <w:p>
      <w:r>
        <w:t>- 10/16 -</w:t>
      </w:r>
    </w:p>
    <w:p>
      <w:r>
        <w:t>C/21707/2020 concrètement la situation financière du conjoint. Le principe de solidarité demeure applicable durant la procédure de mesures protectrices de l'union conjugale. Selon ce principe, les conjoints sont responsables l'un envers l'autre des effets que le partage des tâches adopté durant le mariage a pu avoir sur la capacité de gain de l'un des époux (ATF 137 III 385 consid. 3.1; arrêts du Tribunal fédéral 5A_891/2018 du 2 février 2021 consid. 4.4; 5A_848/2017 du 15 mai 2018; DE WECK-IMMELE, Droit matrimonial, Commentaire pratique, 2015, n. 19 à 21, 26 et 27 ad art. 176 CC). Le juge ne modifiera la convention conclue pour la vie commune qu'en cas de nécessité économique ou si la convention initiale était manifestement inéquitable. Ainsi, il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(ATF 130 III 537 consid. 3, in JT 2005 I 111; arrêt du Tribunal fédéral 5A_937/2012 du 3 juillet 2013 consid. 4.2.1; DE WECK-IMMELE, op. cit., n. 22 et 23 ad art. 176 CC). 3.2 Pour fixer la contribution d'entretien, le juge doit en principe tenir compte du revenu effectif des parties (ATF 137 III 118 consid. 2.3; 137 III 102 consid. 4.2.2.2; arrêt du Tribunal fédéral 5A_876/2016 du 19 juin 2017 consid. 3.1.2).</w:t>
      </w:r>
    </w:p>
    <w:p>
      <w:r>
        <w:t>Le juge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102 consid. 4.2.2.2; 128 III 4 consid. 4c/bb; arrêts du Tribunal fédéral 5A_272/2019 du 9 juin 2020 consid. 3.1; 5A_584/2018 du 10 octobre 2018 consid. 5.1.2).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w:t>
      </w:r>
    </w:p>
    <w:p>
      <w:r>
        <w:t>- 11/16 -</w:t>
      </w:r>
    </w:p>
    <w:p>
      <w:r>
        <w:t>C/21707/2020 (ATF 129 III 417 consid. 2.2 et la référence citée; arrêt du Tribunal fédéral 5A_251/2016 du 15 août 2016 consid. 2.1.2).</w:t>
      </w:r>
    </w:p>
    <w:p>
      <w:r>
        <w:t>3.3 Si les revenus du travail et de la fortune suffisent à l'entretien des conjoints, la substance de la fortune n'est normalement pas prise en considération (ATF 138 III 289 consid. 11.1.2). Dans le cas contraire, l'entretien peut, en principe, être assuré par des prélèvements dans la fortune des époux. Pour respecter le principe d'égalité entre les époux, on ne saurait toutefois exiger d'un conjoint qu'il entame sa fortune pour assurer l'entretien courant que si on impose à l'autre d'en faire autant, à moins qu'il n'en soit dépourvu (ATF 129 III 7 consid. 3.1.2; arrêt du Tribunal fédéral 5A_524/2017 du 9 octobre 2017 consid. 5.1.3).</w:t>
      </w:r>
    </w:p>
    <w:p>
      <w:r>
        <w:t>3.4 Dans trois arrêts récents destinés à la publication (5A_311/2019 du</w:t>
      </w:r>
    </w:p>
    <w:p>
      <w:r>
        <w:rPr>
          <w:b/>
        </w:rPr>
        <w:t>E. 11</w:t>
      </w:r>
    </w:p>
    <w:p>
      <w:r>
        <w:t>novembre 2020, in SJ 2021 I 316; 5A_891/2018 du 2 février 2021 et 5A_800/2019 du 9 février 2021), le Tribunal fédéral a posé, pour toute la Suisse, une méthode de calcul uniforme des contributions d'entretien du droit de la famille. Selon cette méthode en deux étapes, ou méthode du minimum vital avec répartition de l'excédent,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(arrêt du Tribunal fédéral 5A_311/2019 précité consid. 7). L'on détermine les besoins, en prenant pour point de départ les lignes directrices pour le calcul du minimum vital du droit des poursuites selon l'art. 93 LP. 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(arrêt précité consid. 7.2). S'il reste un excédent après couverture du minimum vital de droit de la famille, il sera réparti en équité entre les ayants droits (arrêt du Tribunal fédéral 5A_311/2019 précité consid. 7.3 et 8.3.2). 3.5 Les dettes contractées pendant la vie commune pour les besoins de la famille, ou décidées en commun par les époux ou dont ceux-ci sont débiteurs solidaires peuvent être prises en considération; tel n'est pas le cas des dettes contractées postérieurement (ATF 127 III 289 consid. 2a/bb et les réf. cit.).</w:t>
      </w:r>
    </w:p>
    <w:p>
      <w:r>
        <w:t>- 12/16 -</w:t>
      </w:r>
    </w:p>
    <w:p>
      <w:r>
        <w:t>C/21707/2020 3.6 Le minimum vital du débirentier doit dans tous les cas être préservé (ATF 135 III 66, in JT 2010 I 167; 127 III 68 consid. 2, in SJ 2001 I 280; arrêt du Tribunal fédéral 5A_662/2013 du 24 juin 2014 consid. 3.2.1).</w:t>
      </w:r>
    </w:p>
    <w:p>
      <w:r>
        <w:t>3.7 3.7.1 En l'espèce, l'intimée a travaillé comme maître d'hôtel et assistante de réception dans le domaine de la restauration. L'imputation à son égard d'un revenu hypothétique d'un montant net de 4'000 fr. n'est pas contestée par les parties. Seule est remis en cause par l'appelant le délai de sept mois accordé par le premier juge. Ce délai sera toutefois confirmé, dans la mesure où il apparaît raisonnable et adéquat pour permettre à l'intimée de retrouver un emploi au regard de son âge, de son éloignement du marché du travail durant plusieurs années, de son incapacité de travail entre le 9 mars 2021 et le 31 mai 2021 et de la conjoncture actuelle. S'agissant de la fortune de cette dernière, il importe peu de savoir si l'intimée dispose encore de tout ou partie du montant de 100'000 fr. reçu lors de la vente de l'appartement de D______, compte tenu du fait que les revenus des parties permettent de couvrir leurs besoins. L'épouse ne conteste pas en appel les charges retenues par le premier juge à hauteur de 4'545 fr. par mois (cf. supra EN FAIT let. C.h.b.), hors impôts. Elle n'a pas allégué d'autres charges en première instance, hormis les frais de remboursement d'une carte de crédit et d'un prêt, écartés par le premier juge. Il sera tenu compte de l'entier de son loyer au vu des très faibles revenus perçus actuellement par sa fille, lesquelles permettent à peine à cette dernière de couvrir son propre minimum vital. A cela peut être ajoutée la charge fiscale de l'intimée, qui sera retenue à hauteur de 1'800 fr. par mois pour l'année 2021, puis à 800 fr. dès janvier 2022 (évaluée au moyen de la calculette disponible sur le site internet de l'Administration fiscale genevoise sur la base, notamment, du revenu retenu dès 2022 et des contributions fixées ci-après).</w:t>
      </w:r>
    </w:p>
    <w:p>
      <w:r>
        <w:t>L'épouse fait, ainsi, face à un déficit de 6'345 fr. par mois en 2021, respectivement de 1'345 fr. dès janvier 2022.</w:t>
      </w:r>
    </w:p>
    <w:p>
      <w:r>
        <w:t>3.7.2 L'appelant perçoit de son activité de gérant de portefeuille au sein d'une banque un salaire mensuel net de 19'524 fr. 50 par mois en 2021. Dès le 1er janvier 2022, date de sa mise à la retraite anticipée, il touchera un montant d'environ 7'900 fr. nets par mois. Il n'est pas établi qu'il percevrait d'autres revenus d'activités annexes.</w:t>
      </w:r>
    </w:p>
    <w:p>
      <w:r>
        <w:t>Compte tenu des revenus confortables dont bénéficie encore l'appelant en 2021, il sera retenu à son égard des charges élargies s'élevant à 8'871 fr. par mois,</w:t>
      </w:r>
    </w:p>
    <w:p>
      <w:r>
        <w:t>- 13/16 -</w:t>
      </w:r>
    </w:p>
    <w:p>
      <w:r>
        <w:t>C/21707/2020 comprenant son loyer (2'635 fr., correspondant au loyer du domicile conjugal et non pour son appartement plus grand, occupé par une personne vivant seule), les primes d'assurance-maladie LAMal et LCA (590 fr.), les frais pour ses véhicules (admis à hauteur d'environ 310 fr.), les frais de télécommunication (environ 300 fr.), les frais de taxe audiovisuelle (29 fr.), la prime d'assurance RC-ménage (41 fr.), les primes d'assurance-vie (43 fr. et 163 fr.), les primes TCS (60 fr.), les impôts (3'500 fr.) et le montant de base selon les normes OP (1'200 fr.), à l'exclusion des frais de SIG (compris dans le montant de base), des frais de fiduciaire, des frais relatifs à sa résidence secondaire en France et du remboursement du prêt à la BANQUE N______ (dont l'utilisation pour les besoins du ménage n'a pas été rendue vraisemblable).</w:t>
      </w:r>
    </w:p>
    <w:p>
      <w:r>
        <w:t>Le montant des frais de véhicules comprend les primes d'assurance du véhicule O______ (202 fr.) et du vélo (8 fr.), ainsi que l'essence pour un montant admis à hauteur de 100 fr. par mois pour ses trajets quotidiens, à l'exclusion de la prime d'assurance pour le véhicule G______ acquis en 2020 et des autres frais, s'agissant desquels il a renvoyé à son décompte bancaire.</w:t>
      </w:r>
    </w:p>
    <w:p>
      <w:r>
        <w:t>Dès 2022, ne seront, en revanche, retenues que ses charges incompressibles très légèrement élargies au vu de la baisse considérable de ses revenus, à savoir son loyer (2'635 fr.), les primes d'assurance-maladie LAMal et LCA (590 fr.), les frais de transports CFF et TPG (180 fr. et 70 fr.), les impôts (1'800 fr.) et le montant de base (1'200 fr.), pour un montant total de 6'475 fr. par mois.</w:t>
      </w:r>
    </w:p>
    <w:p>
      <w:r>
        <w:t>S'agissant de sa charge fiscale, celle-ci s'est élevée à 5'870 fr. pour l'année 2019. L'appelant s'acquitte actuellement de ses premiers acomptes provisionnels vaudois à hauteur de 6'824 fr. par mois. Compte tenu de la baisse de ses revenus imposables et de la vraisemblable baisse du taux de taxation applicable (lequel a jusqu'alors été maximal) résultant du versement de la contribution à l'entretien de l'intimée, la part revenant à l'époux ne devrait vraisemblablement pas dépasser 3'500 fr. par mois pour l'année 2021 (3'500 fr. + 1'800 fr. de charge fiscale de l'épouse = 5'300 fr. de montant global des époux). Dès l'année 2022, un montant de 1'800 fr. (soit 1'000 fr. de plus que son épouse) apparaît adéquat au vu des situations financières des parties qui prévaudront alors.</w:t>
      </w:r>
    </w:p>
    <w:p>
      <w:r>
        <w:t>L'appelant dispose, dès lors, d'un montant disponible de 10'653 fr. en 2021, puis de 1'425 fr. dès janvier 2022.</w:t>
      </w:r>
    </w:p>
    <w:p>
      <w:r>
        <w:t>3.7.3 Au vu de ce qui précède, l'intimée peut ainsi prétendre à la couverture de son déficit et à la moitié de l'excédent, soit à une contribution à son entretien s'élevant au montant arrondi de 8'500 fr. entre le 1er février 2021 - date qui n'est pas contestée - et le 31 décembre 2021 (6'345 fr. + (10'653 fr. – 6'345 fr.) / 2 = 8'499 fr.), puis de 1'400 fr. dès janvier 2022 (1'345 fr. + (1'425 – 1'345 / 2 = 1'390 fr.).</w:t>
      </w:r>
    </w:p>
    <w:p>
      <w:r>
        <w:t>- 14/16 -</w:t>
      </w:r>
    </w:p>
    <w:p>
      <w:r>
        <w:t>C/21707/2020</w:t>
      </w:r>
    </w:p>
    <w:p>
      <w:r>
        <w:t>Par conséquent, le chiffre 4 du dispositif du jugement entrepris sera annulé et l'appelant condamné dans le sens qui précède. 4.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RTFMC), le jugement entrepris sera confirmé sur ce point. 4.2 Les frais judiciaires de la procédure d'appel sont fixés à 1'200 fr. (art. 31 et 35 RTFMC), couverts par l'avance de frais opérée par l’appelant, laquelle demeure intégralement acquise à l'Etat de Genève (art. 111 al. 1 CPC).</w:t>
      </w:r>
    </w:p>
    <w:p>
      <w:r>
        <w:t>Pour des motifs d'équité liés à la nature du litige, ils seront répartis à parts égales entre les parties (art. 95, 104 al. 1, 105, 106 al. 1 et 107 al. 1 let. c CPC).</w:t>
      </w:r>
    </w:p>
    <w:p>
      <w:r>
        <w:t>L'intimée, sera, par conséquent, condamnée à verser la somme de 600 fr. à l'appelant à titre de remboursement des frais judiciaires d'appel.</w:t>
      </w:r>
    </w:p>
    <w:p>
      <w:r>
        <w:t>Pour les mêmes motifs, chaque partie supportera ses propres dépens d'appel (art. 107 al. 1 let. c CPC). * * * * *</w:t>
      </w:r>
    </w:p>
    <w:p>
      <w:r>
        <w:t>- 15/16 -</w:t>
      </w:r>
    </w:p>
    <w:p>
      <w:r>
        <w:t>C/21707/2020 PAR CES MOTIFS, La Chambre civile : A la forme : Déclare recevable l'appel interjeté le 31 mai 2021 par A______ contre le chiffre 4 du dispositif du jugement JTPI/6261/2021 rendu le 17 mai 2021 par le Tribunal de première instance dans la cause C/21707/2020-5. Au fond : Annule le chiffre 4 du dispositif du jugement entrepris. Cela fait et statuant à nouveau sur ce point : Condamne A______ à verser, par mois et d'avance, une contribution mensuelle à l'entretien de B______ de 8'500 fr. entre le 1er février 2021 et le 31 décembre 2021, puis de 1'400 fr. dès le 1er janvier 2022. Déboute les parties de toutes autres conclusions. Sur les frais : Arrête les frais judiciaires d'appel à 1'200 fr., les met à la charge des parties par moitié chacune et les compense avec l'avance fournie par A______, laquelle demeure entièrement acquise à l'Etat de Genève. Condamne B______ à verser 600 fr. à A______ à titre de remboursement des frais judiciaires d'appel. Dit que chaque partie supporte ses propres dépens d'appel. Siégeant : Madame Jocelyne DEVILLE-CHAVANNE, présidente; Madame Verena PEDRAZZINI RIZZI, Madame Nathalie LANDRY-BARTHE, juges; Madame Sophie MARTINEZ, greffière.</w:t>
      </w:r>
    </w:p>
    <w:p>
      <w:r>
        <w:t>- 16/16 -</w:t>
      </w:r>
    </w:p>
    <w:p>
      <w:r>
        <w:t>C/21707/2020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