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ACJC/1302/2020 vom 31. Juli 2020</w:t>
      </w:r>
    </w:p>
    <w:p>
      <w:r>
        <w:t>GE Cour de justice, 2020-07-31, FR</w:t>
      </w:r>
    </w:p>
    <w:p>
      <w:r>
        <w:rPr>
          <w:b/>
        </w:rPr>
        <w:t xml:space="preserve">Quelle: </w:t>
      </w:r>
      <w:r>
        <w:t>https://mcp.opencaselaw.ch/entscheid/ge_gerichte_ACJC_1302_2020</w:t>
      </w:r>
    </w:p>
    <w:p>
      <w:r>
        <w:t>FR: GE_GERICHTE ACJC/1302/2020 du 31 juillet 2020</w:t>
      </w:r>
    </w:p>
    <w:p>
      <w:r>
        <w:t>IT: GE_GERICHTE ACJC/1302/2020 del 31 luglio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w:t>
      </w:r>
    </w:p>
    <w:p>
      <w:r>
        <w:t>- 4/10 -</w:t>
      </w:r>
    </w:p>
    <w:p>
      <w:r>
        <w:t>C/29655/2019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5P.174/2005 du 7 octobre 2005). Dans cette mesure, la Cour applique librement le droit.</w:t>
      </w:r>
    </w:p>
    <w:p>
      <w:r>
        <w:rPr>
          <w:b/>
        </w:rPr>
        <w:t>E. 1.3</w:t>
      </w:r>
    </w:p>
    <w:p>
      <w:r>
        <w:t>La procédure de mainlevée définitive, comme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1.4</w:t>
      </w:r>
    </w:p>
    <w:p>
      <w:r>
        <w:t>Les conclusions, allégations de faits et preuves nouvelles sont irrecevables (art. 326 al. 1 CPC). En conséquence, l'allégation nouvelle de l'intimé selon laquelle il aurait contesté la décision de taxation est irrecevable.</w:t>
      </w:r>
    </w:p>
    <w:p>
      <w:r>
        <w:rPr>
          <w:b/>
        </w:rPr>
        <w:t>E. 2</w:t>
      </w:r>
    </w:p>
    <w:p>
      <w:r>
        <w:t>La recourante reproche au Tribunal de ne pas avoir prononcé la mainlevée définitive de l'opposition formée au commandement de payer. Elle fait valoir que huit requêtes identiques ont été déposées le même jour au Tribunal, tant pour les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w:t>
      </w:r>
    </w:p>
    <w:p>
      <w:r>
        <w:t>- 5/10 -</w:t>
      </w:r>
    </w:p>
    <w:p>
      <w:r>
        <w:t>C/29655/2019 Selon l'art. 36 al. 4 de la loi relative à la perception et aux garanties des impôts des personnes physiques et des personnes morales (LPGIP –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w:t>
      </w:r>
    </w:p>
    <w:p>
      <w:r>
        <w:t>- 6/10 -</w:t>
      </w:r>
    </w:p>
    <w:p>
      <w:r>
        <w:t>C/29655/2019 Il appartient au contribuable qui reçoit un rappel d'impôts d'aller chercher les renseignements nécessaires et de se défendre, sans attendre d'être poursuivi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2.2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2.4</w:t>
      </w:r>
    </w:p>
    <w:p>
      <w:r>
        <w:t>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w:t>
      </w:r>
    </w:p>
    <w:p>
      <w:r>
        <w:rPr>
          <w:b/>
        </w:rPr>
        <w:t>E. 2.5</w:t>
      </w:r>
    </w:p>
    <w:p>
      <w:r>
        <w:t>En l'espèce, le bordereau d'impôts relatif à l'impôt fédéral direct 2014 du 23 janvier 2017, à l'origine de la créance en poursuite, a été notifié à l'intimé, ce qu'il n'a pas remis en cause. Ce bordereau ne porte pas la mention de son caractère</w:t>
      </w:r>
    </w:p>
    <w:p>
      <w:r>
        <w:t>- 7/10 -</w:t>
      </w:r>
    </w:p>
    <w:p>
      <w:r>
        <w:t>C/29655/2019 définitif et exécutoire. Cela étant, l'intimé n'a pas non plus - valablement - allégué avoir formé une réclamation dans les 30 jours contre ledit bordereau, ni produit de titre à cet égard. Il n'a pour le surplus pas contesté avoir reçu la sommation du 20 août 2018, qui lui a été adressée par courrier recommandé. A réception de cette dernière, mentionnant expressément le bordereau du 23 janvier 2017, ainsi que les montants dus à ce titre, l'intimé n'a pas réagi. Ce n'est que lors de l'audience du 9 mars 2020 devant le Tribunal, soit trois ans après la réception du bordereau d'impôts, que l'intimé s'est prévalu de l'absence de preuve du caractère exécutoire dudit bordereau. Dans ces circonstances, il serait faire preuve de formalisme excessif que d'exiger de la recourante qu'elle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 rappel d'impôts va chercher à se défendre et n'attend pas d'être poursuivi, ce d'autant que le bordereau de rappel d'impôt fait suite à une dénonciation spontanée de l'intimé pour soustraction d'impôts.</w:t>
      </w:r>
    </w:p>
    <w:p>
      <w:r>
        <w:t>En revanche, c'est à tort que le Tribunal a retenu, implicitement, qu'il n'y avait pas d'identité entre le bordereau d'impôts et l'identité de la créance déduite en poursuite. En effet, dans la rubrique "Titre et date de la créance", la recourante a fait mention du numéro de contribuable de l'intimé 2______ / IBO -2, du numéro de référence 3______/IFD/2014 et de la date du 23.01.2017, pour une somme de 6'708 fr. 35. Il ne fait aucun doute qu'il s'agit du bordereau notifié le 23 janvier 2017 à l'intimé. Le fait que le montant requis en poursuite porte sur un montant inférieur à celui résultant du bordereau susmentionné, à savoir 6'718 fr. 05, ne fait pas non plus, en lui-même, obstacle au prononcé de la mainlevée de l'opposition. Comme le fait valoir à juste titre la recourante, en refusant de prononcer la mainlevée pour ce motif, le Tribunal a fait preuve de formalisme excessif. Contraindre la recourante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w:t>
      </w:r>
    </w:p>
    <w:p>
      <w:r>
        <w:t>- 8/10 -</w:t>
      </w:r>
    </w:p>
    <w:p>
      <w:r>
        <w:t>C/29655/2019</w:t>
      </w:r>
    </w:p>
    <w:p>
      <w:r>
        <w:rPr>
          <w:b/>
        </w:rPr>
        <w:t>E. 2.6</w:t>
      </w:r>
    </w:p>
    <w:p>
      <w:r>
        <w:t>Sur le fond, la décision de taxation produite par la recourante constitue bien un titre de mainlevée définitive pour le montant de 6'708 fr. 35 (poste 1 du commandement de payer). L'intimé n'a pas contesté les intérêts dus sur le montant en capital, de 3%, mais uniquement les intérêts moratoires (cf. infra, poste 2 du commandement de payer), de sorte qu'ils seront admis. Le recours est dès lors fondé sur ce point. Il n'y a par contre pas lieu de "dire que la poursuite ira sa voie" comme le souhaite la recourante, cette conclusion excédant le cadre de la présente procédure qui ne peut tendre qu'au prononcé de la mainlevée de l'opposition.</w:t>
      </w:r>
    </w:p>
    <w:p>
      <w:r>
        <w:rPr>
          <w:b/>
        </w:rPr>
        <w:t>E. 2.7</w:t>
      </w:r>
    </w:p>
    <w:p>
      <w:r>
        <w:t>Concernant les intérêts moratoires, l'intimé les a contestés de manière toute générale. Conformément aux principes rappelés sous consid. 2.1 supra, il appartenait au curateur de l'intimé, à réception de la sommation du 20 août 2018,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298 fr. 55. Le recours se révèle ainsi également fondé sur ce point.</w:t>
      </w:r>
    </w:p>
    <w:p>
      <w:r>
        <w:rPr>
          <w:b/>
        </w:rPr>
        <w:t>E. 2.8</w:t>
      </w:r>
    </w:p>
    <w:p>
      <w:r>
        <w:t>Le jugement attaqué sera par conséquent annulé, et, la cause étant en état d'être jugée (art. 327 al. 3 let. b CPC), il sera statué dans le sens que la mainlevée définitive de l'opposition formée au commandement de payer, poursuite n° 1______, sera prononcée, à concurrence de 6'708 fr. 35, plus intérêts moratoires à 3% dès le 10 janvier 2019 et 298 fr. 55, et rejetée pour le surplus. 3. Les frais des deux instances, arrêtés à 750 fr. (art. 48, 61 OELP), seront mis à la charge de l'intimé, qui succombe majoritairement, et compensés avec les avances de frais versées par les parties, qui restent acquises à l'Etat de Genève (art. 111 al. 1 CPC). L'intimé sera en conséquence condamné à verser 750 fr. à ce titre à la recourante. Il ne sera pas alloué de dépens à la recourante, qui comparaît en personne, les démarches effectuées ne le justifiant pas (art. 95 al. 3 let. c CPC a contrario). * * * * *</w:t>
      </w:r>
    </w:p>
    <w:p>
      <w:r>
        <w:t>- 9/10 -</w:t>
      </w:r>
    </w:p>
    <w:p>
      <w:r>
        <w:t>C/29655/2019 PAR CES MOTIFS, La Chambre civile : A la forme : Déclare recevable le recours interjeté le 18 mai 2020 par la CONFEDERATION SUISSE, SOIT POUR ELLE LA PERCEPTION DE L'AFC contre le jugement JTPI/5039/2020 rendu le 6 mai 2020 par le Tribunal de première instance dans la cause C/29655/2019-25 SML. Au fond : Annule ledit jugement. Cela fait et statuant à nouveau : Prononce la mainlevée définitive de l'opposition formée au commandement de payer, poursuite n° 1______, à concurrence de 6'708 fr. 35, plus intérêts moratoires à 3% dès le 10 janvier 2019 et 298 fr. 55. Déboute les parties de toutes autres conclusions. Sur les frais : Arrête les frais judiciaires de première instance et de recours à 750 fr., compensés avec les avances de frais fournies par les parties, acquises à l'Etat de Genève, et les met à la charge de A______. Condamne en conséquence A______ à verser à la CONFEDERATION SUISSE, SOIT POUR ELLE LA PERCEPTION DE L'AFC, la somme de 750 fr. Dit qu'il n'est pas alloué de dépens pour les deux instances. Siégeant : Madame Pauline ERARD, présidente; Madame Nathalie LANDRY-BARTHE et Monsieur Laurent RIEBEN, juges; Madame Mélanie DE RESENDE PEREIRA, greffière. La présidente : Pauline ERARD</w:t>
      </w:r>
    </w:p>
    <w:p>
      <w:r>
        <w:t>La greffière : Mélanie DE RESENDE PEREIRA</w:t>
      </w:r>
    </w:p>
    <w:p>
      <w:r>
        <w:t>- 10/10 -</w:t>
      </w:r>
    </w:p>
    <w:p>
      <w:r>
        <w:t>C/29655/2019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