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ACJC/1301/2013 vom 8. November 2013</w:t>
      </w:r>
    </w:p>
    <w:p>
      <w:r>
        <w:t>GE Cour de justice, 2013-11-08, FR</w:t>
      </w:r>
    </w:p>
    <w:p>
      <w:r>
        <w:rPr>
          <w:b/>
        </w:rPr>
        <w:t xml:space="preserve">Quelle: </w:t>
      </w:r>
      <w:r>
        <w:t>https://mcp.opencaselaw.ch/entscheid/ge_gerichte_ACJC_1301_2013</w:t>
      </w:r>
    </w:p>
    <w:p>
      <w:r>
        <w:t>FR: GE_GERICHTE ACJC/1301/2013 du 8 novembre 2013</w:t>
      </w:r>
    </w:p>
    <w:p>
      <w:r>
        <w:t>IT: GE_GERICHTE ACJC/1301/2013 del 8 novembre 2013</w:t>
      </w:r>
    </w:p>
    <w:p>
      <w:pPr>
        <w:pStyle w:val="Heading2"/>
      </w:pPr>
      <w:r>
        <w:t>Erwägungen</w:t>
      </w:r>
    </w:p>
    <w:p>
      <w:r>
        <w:rPr>
          <w:b/>
        </w:rPr>
        <w:t>E. 1</w:t>
      </w:r>
    </w:p>
    <w:p>
      <w:r>
        <w:t>L'action de l'appelant a été introduite en première instance le 9 décembre 2010. Le jugement entrepris ayant été notifié le 12 mars 2013, le recours est soumis au Code de procédure civile entré en vigueur le 1er janvier 2011 (art. 405 al. 1 CPC).</w:t>
      </w:r>
    </w:p>
    <w:p>
      <w:r>
        <w:rPr>
          <w:b/>
        </w:rPr>
        <w:t>E. 2</w:t>
      </w:r>
    </w:p>
    <w:p>
      <w:r>
        <w:t>A teneur de l'art. 308 al. 1 let. a CPC, l'appel est recevable contre les décisions de première instance, finales et incidentes, lorsque la valeur litigieuse au dernier état des conclusions atteint au moins 10'000 fr. dans les affaires patrimoniales (art. 308 al. 2 CPC). L'art. 311 al. 1 CPC prévoit que l'appel, écrit et motivé, est introduit auprès de l'instance d'appel dans les trente jours à compter de la notification de la décision motivée.</w:t>
      </w:r>
    </w:p>
    <w:p>
      <w:r>
        <w:rPr>
          <w:b/>
        </w:rPr>
        <w:t>E. 3</w:t>
      </w:r>
    </w:p>
    <w:p>
      <w:r>
        <w:t>L'intimé conteste la recevabilité de l'appel.</w:t>
      </w:r>
    </w:p>
    <w:p>
      <w:r>
        <w:rPr>
          <w:b/>
        </w:rPr>
        <w:t>E. 3.1</w:t>
      </w:r>
    </w:p>
    <w:p>
      <w:r>
        <w:t>L'appel doit comporter des conclusions, lesquelles doivent indiquer sur quels points la partie appelante demande la modification ou l'annulation de la décision attaquée; en principe les conclusions doivent être libellées de telle manière que l'autorité d'appel puisse, s'il y a lieu, les incorporer sans modification au dispositif de sa propre décision. En règle générale, les conclusions portant sur des presta- tions en argent doivent être chiffrées (arrêt du Tribunal fédéral 4A_587/2012 du 9 janvier 2013 consid. 2). L'autorité de seconde instance peut impartir un délai à l'appelant pour rectifier des vices de forme tels que l'absence de signature (art. 132 al. 1 CPC); il ne saurait toutefois être remédié à un défaut de motivation ou à des conclusions déficientes par ce biais, de tels vices n'étant pas d'ordre purement formel et affectant l'appel de façon irréparable. La sanction est donc l'irrecevabilité de l'appel (arrêt du ATF 5A_438/2012 consid. 2.4; JEANDIN, Code de procédure civile commenté, BOHNET/HALDY/JEANDIN/SCHWEIZER/TAPPY, [éd.], 2011 n. 5 ad art. 311 CPC).</w:t>
      </w:r>
    </w:p>
    <w:p>
      <w:r>
        <w:rPr>
          <w:b/>
        </w:rPr>
        <w:t>E. 3.2</w:t>
      </w:r>
    </w:p>
    <w:p>
      <w:r>
        <w:t>Selon une jurisprudence constante, rendue tant sous l'empire de la LOJ que de la LTF, il appartient au recourant qui exerce un recours susceptible d'aboutir à la réformation de la décision entreprise de prendre non seulement des conclusions en</w:t>
      </w:r>
    </w:p>
    <w:p>
      <w:r>
        <w:t>- 5/7 -</w:t>
      </w:r>
    </w:p>
    <w:p>
      <w:r>
        <w:t>C/20983/2010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 tance précédente pour complément d'instruction et nouvelle décision (ATF 4C_267/2006 du 13 novembre 2006 consid. 2.1 et 2.2; 4D_65/2009 du 13 juillet 2009 consid. 1.2.1; ATF 134 III 379 consid. 1.3; ATF 5P_389/2004 consid. 2.3 et 2.4 in SJ 2005 I 579). Cependant, quand bien même le recourant ne prendrait que des conclusions cassa- 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(ATF 4A_183/2011 du 16 juin 2011 consid. 1.4).</w:t>
      </w:r>
    </w:p>
    <w:p>
      <w:r>
        <w:rPr>
          <w:b/>
        </w:rPr>
        <w:t>E. 3.3</w:t>
      </w:r>
    </w:p>
    <w:p>
      <w:r>
        <w:t>Ces principes jurisprudentiels sont directement transposables au CPC, particu- lièrement à l'appel compte tenu de sa vocation essentiellement réformatoire consa- crée par l'art. 318 al. 1 let. a et b CPC. L'effet cassatoire de l'appel, conçu comme une exception, permet toutefois à l'autorité d'appel de renvoyer la cause à la pre- mière instance si un élément essentiel de la demande n'a pas été jugé ou si l'état de fait doit être complété sur des points essentiels (art. 318 al. 1 let. c CPC; JEANDIN, op. cit., 2011, n. 4 ad art. 318 CPC et n. 4 ad art. 311 CPC).</w:t>
      </w:r>
    </w:p>
    <w:p>
      <w:r>
        <w:rPr>
          <w:b/>
        </w:rPr>
        <w:t>E. 3.4</w:t>
      </w:r>
    </w:p>
    <w:p>
      <w:r>
        <w:t>Dans le cas d'espèce, l'intimée a fait valoir que les conclusions d'appel de l'ap- pelant ne tendaient qu'à l'annulation du jugement entrepris et au renvoi de la cause au Tribunal, l'appelant s'étant abstenu de prendre des conclusions sur le fond. L'appel devait être en conséquence déclaré irrecevable. Pour être adopté, ce raisonnement ne doit cependant pas se heurter au principe de l'interdiction du formaliste excessif (art. 29 al. 1 Cst). Comme rappelé ci-dessus, il serait excessivement formaliste de déclarer irrecevable un appel, certes dépourvu de conclusions réformatoires, mais dont le moyen principal, fondé sur une viola- tion du droit d'être entendu ou du droit à la preuve, et par hypothèse reconnu justi- fié, conduirait au renvoi de la cause au premier juge, pour complément d'instruc- tion et nouvelle décision. Rien de tel cependant dans la présente cause. En effet, aucun des griefs de l'ap- pelant ne vise une violation de son droit d'être entendu ou de son droit à la preuve. Tous les griefs soulevés tendent à faire reconnaître que le premier juge aurait mal apprécié le fait que la clause de non-concurrence contenue dans le contrat entre les parties aurait été violée. En l'absence de tout grief relatif à l'instruction de la cause ou au fait qu'un élément essentiel de la demande n'aurait pas été jugé, un renvoi de la cause à la première instance est quoi qu'il en soit exclu.</w:t>
      </w:r>
    </w:p>
    <w:p>
      <w:r>
        <w:t>- 6/7 -</w:t>
      </w:r>
    </w:p>
    <w:p>
      <w:r>
        <w:t>C/20983/2010 En conséquence, l'appelant aurait dû assortir son appel de conclusions réforma- toires puisque la cause aurait pu être jugée sur le fond par la Cour de céans. L'ab- sence de telles conclusions constitue dès lors un vice conduisant la Cour de céans à constater sans formalisme excessif l'irrecevabilité de l'appel.</w:t>
      </w:r>
    </w:p>
    <w:p>
      <w:r>
        <w:rPr>
          <w:b/>
        </w:rPr>
        <w:t>E. 4</w:t>
      </w:r>
    </w:p>
    <w:p>
      <w:r>
        <w:t>L'appelant, qui succombe, sera condamné aux frais de celui-ci (art. 95 et 106 al. 1 CPC) qui seront fixés à 2'000 fr. (art. 19 al. 5 LaCC) et compensés à due con- currence avec l'avance de frais versée par lui à hauteur de 8'000 fr. qui reste acquise à l'Etat. Le solde de celle-ci, soit 6'000 fr. sera restituée à l'appelant. Les dépens dus à l'intimé, fixés conformément aux art. 84, 85 et 90 RTFMC, sont arrê- tés à 3'000 fr. TVA et débours compris (art. 25 et 26 LaCC). * * * * *</w:t>
      </w:r>
    </w:p>
    <w:p>
      <w:r>
        <w:t>- 7/7 -</w:t>
      </w:r>
    </w:p>
    <w:p>
      <w:r>
        <w:t>C/20983/2010 PAR CES MOTIFS, La Chambre civile : A la forme : Déclare irrecevable l'appel interjeté par A______ contre le jugement JTPI/3645/2013 rendu le 8 mars 2013 par le Tribunal de première instance dans la cause C/20983/2010-</w:t>
      </w:r>
    </w:p>
    <w:p>
      <w:r>
        <w:rPr>
          <w:b/>
        </w:rPr>
        <w:t>E. 8</w:t>
      </w:r>
    </w:p>
    <w:p>
      <w:r>
        <w:t>Sur les frais d'appel : Condamne A______ aux frais judiciaires d'appel arrêtés à 2'000 fr., les compense avec l'avance de frais versée, qui est acquise à l'Etat à due concurrence. Ordonne aux Services financiers du Pouvoir judiciaire de restituer à l'appelant la somme de 6'000 fr. Condamne A______ à payer à B______ la somme de 3'000 fr. à titre de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