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ACJC/1300/2016 vom 7. Juli 2016</w:t>
      </w:r>
    </w:p>
    <w:p>
      <w:r>
        <w:t>GE Cour de justice, 2016-07-07, FR</w:t>
      </w:r>
    </w:p>
    <w:p>
      <w:r>
        <w:rPr>
          <w:b/>
        </w:rPr>
        <w:t xml:space="preserve">Quelle: </w:t>
      </w:r>
      <w:r>
        <w:t>https://mcp.opencaselaw.ch/entscheid/ge_gerichte_ACJC_1300_2016</w:t>
      </w:r>
    </w:p>
    <w:p>
      <w:r>
        <w:t>FR: GE_GERICHTE ACJC/1300/2016 du 7 juillet 2016</w:t>
      </w:r>
    </w:p>
    <w:p>
      <w:r>
        <w:t>IT: GE_GERICHTE ACJC/1300/2016 del 7 luglio 2016</w:t>
      </w:r>
    </w:p>
    <w:p>
      <w:pPr>
        <w:pStyle w:val="Heading2"/>
      </w:pPr>
      <w:r>
        <w:t>Erwägungen</w:t>
      </w:r>
    </w:p>
    <w:p>
      <w:r>
        <w:rPr>
          <w:b/>
        </w:rPr>
        <w:t>E. 1.1</w:t>
      </w:r>
    </w:p>
    <w:p>
      <w:r>
        <w:t>La voie du recours est ouverte contre les décisions du Tribunal de l'exécution (art. 309 let. a CPC; art. 319 let. a CPC).</w:t>
      </w:r>
    </w:p>
    <w:p>
      <w:r>
        <w:t>En l'espèce, n'est litigieuse que la question de l'exécution de l'évacuation, de sorte que la voie du recours est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L'intimée a produit une pièce nouvelle.</w:t>
      </w:r>
    </w:p>
    <w:p>
      <w:r>
        <w:t>Les conclusions, les allégations de faits et les preuves nouvelles sont irrecevables (art. 326 al. 1 CPC).</w:t>
      </w:r>
    </w:p>
    <w:p>
      <w:r>
        <w:t>La pièce nouvelle produite par l'intimée, ainsi que les allégations de fait qu'elle contient, est ainsi irrecevable.</w:t>
      </w:r>
    </w:p>
    <w:p>
      <w:r>
        <w:rPr>
          <w:b/>
        </w:rPr>
        <w:t>E. 3</w:t>
      </w:r>
    </w:p>
    <w:p>
      <w:r>
        <w:t>Les recourants reprochent au Tribunal de ne pas avoir correctement pondéré les intérêts en présence en ne leur laissant qu'un bref laps de temps pour quitter les locaux.</w:t>
      </w:r>
    </w:p>
    <w:p>
      <w:r>
        <w:rPr>
          <w:b/>
        </w:rPr>
        <w:t>E. 3.1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w:t>
      </w:r>
    </w:p>
    <w:p>
      <w:r>
        <w:t>- 5/6 -</w:t>
      </w:r>
    </w:p>
    <w:p>
      <w:r>
        <w:t>C/9191/2016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3.2</w:t>
      </w:r>
    </w:p>
    <w:p>
      <w:r>
        <w:t>En l'espèce, contrairement à ce que soutiennent les recourants, le Tribunal a correctement tenu compte des circonstances du cas et des intérêts en présence en accordant un sursis à l'exécution jusqu'au 31 août 2016. En effet, l'arriéré dû est important et augmente chaque mois, les revenus des recourants ne leur permettant pas d'assumer le loyer de 2'874 fr., étant au surplus relevé qu'ils n'affectent pas la totalité du montant versée par l'Hospice général au paiement du loyer à l'intimée. En outre, ils ont refusé un appartement de quatre pièces, à ______, dont ils auraient pu assumer le loyer. Ayant conclu un contrat de bail à terme fixe, les recourants savaient qu'en tous les cas ils devraient quitter les locaux loués au 31 octobre 2016. Faire droit à leurs conclusions reviendrait à leur accorder une prolongation de bail, pourtant exclue contractuellement. Ils ont de fait déjà bénéficié d'un sursis de plusieurs mois.</w:t>
      </w:r>
    </w:p>
    <w:p>
      <w:r>
        <w:t>Le jugement querellé sera ainsi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C/9191/2016 PAR CES MOTIFS, La Chambre des baux et loyers : A la forme : Déclare recevable le recours interjeté le 14 juillet 2016 par A______ et B______ contre le jugement JTBL/1______ rendu le 7 juillet 2016 par le Tribunal des baux et loyers dans la cause C/9191/2016. Au fond : Confirme ce jugement.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