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ACJC/129/2025 vom 30. Januar 2025</w:t>
      </w:r>
    </w:p>
    <w:p>
      <w:r>
        <w:t>GE Cour de justice, 2025-01-30, FR</w:t>
      </w:r>
    </w:p>
    <w:p>
      <w:r>
        <w:rPr>
          <w:b/>
        </w:rPr>
        <w:t xml:space="preserve">Quelle: </w:t>
      </w:r>
      <w:r>
        <w:t>https://mcp.opencaselaw.ch/entscheid/ge_gerichte_ACJC_129_2025</w:t>
      </w:r>
    </w:p>
    <w:p>
      <w:r>
        <w:t>FR: GE_GERICHTE ACJC/129/2025 du 30 janvier 2025</w:t>
      </w:r>
    </w:p>
    <w:p>
      <w:r>
        <w:t>IT: GE_GERICHTE ACJC/129/2025 del 30 gennaio 2025</w:t>
      </w:r>
    </w:p>
    <w:p>
      <w:pPr>
        <w:pStyle w:val="Heading2"/>
      </w:pPr>
      <w:r>
        <w:t>Erwägungen</w:t>
      </w:r>
    </w:p>
    <w:p>
      <w:r>
        <w:rPr>
          <w:b/>
        </w:rPr>
        <w:t>E. 1.1</w:t>
      </w:r>
    </w:p>
    <w:p>
      <w:r>
        <w:t>S'agissant d'une procédure de mainlevée, seule la voie du recours est ouverte (art. 319 let. a et 309 let. b ch. 3 CPC).</w:t>
      </w:r>
    </w:p>
    <w:p>
      <w:r>
        <w:rPr>
          <w:b/>
        </w:rPr>
        <w:t>E. 1.2</w:t>
      </w:r>
    </w:p>
    <w:p>
      <w:r>
        <w:t>Le recours, écrit et motivé, doit être introduit auprès de l'instance de recours dans les dix jours à compter de la notification de la décision motivée (art. 251 let. a CPC et 321 al. 1 et 2 CPC). Déposé dans le délai et selon la forme requis par la loi, le recours est recevable.</w:t>
      </w:r>
    </w:p>
    <w:p>
      <w:r>
        <w:rPr>
          <w:b/>
        </w:rPr>
        <w:t>E. 1.3</w:t>
      </w:r>
    </w:p>
    <w:p>
      <w:r>
        <w:t>Dans le cadre d'un recours, l'autorité a un plein pouvoir d'examen en droit, mais un pouvoir limité à l'arbitraire en fait (art. 320 CPC; HOHL, Procédure civile, Tome II, 2ème éd., 2010, n. 2307). S'agissant d'une procédure de mainlevée provisoire, la Cour doit vérifier d'office si la requête est fondée sur un titre de</w:t>
      </w:r>
    </w:p>
    <w:p>
      <w:r>
        <w:t>- 4/6 -</w:t>
      </w:r>
    </w:p>
    <w:p>
      <w:r>
        <w:t>C/11572/2024 mainlevée valable (arrêt du Tribunal fédéral 5P_174/2005 du 7 octobre 2005 consid. 2.1).</w:t>
      </w:r>
    </w:p>
    <w:p>
      <w:r>
        <w:rPr>
          <w:b/>
        </w:rPr>
        <w:t>E. 1.4</w:t>
      </w:r>
    </w:p>
    <w:p>
      <w:r>
        <w:t>Le recours étant instruit en procédure sommaire, la preuve des faits allégués doit être apportée par titres (art. 254 CPC). Les maximes des débats et de disposition s'appliquent (art. 55 al. 1, 255 let. a a contrario et 58 al. 1 CPC).</w:t>
      </w:r>
    </w:p>
    <w:p>
      <w:r>
        <w:rPr>
          <w:b/>
        </w:rPr>
        <w:t>E. 2</w:t>
      </w:r>
    </w:p>
    <w:p>
      <w:r>
        <w:t>La recourante soutient que les pièces déposées au Tribunal le 21 juin 2024 auraient compris les quatre factures signées, déposées à nouveau après l'audience du 15 novembre 2024. Celles-ci auraient donc déjà dû se trouver dans le dossier du Tribunal de sorte qu'elles n'auraient pas dû être déclarées irrecevables. Il y avait eu "dysfonctionnement du système", lequel ne devait pas "être assumé par le créancier".</w:t>
      </w:r>
    </w:p>
    <w:p>
      <w:r>
        <w:rPr>
          <w:b/>
        </w:rPr>
        <w:t>E. 2.1</w:t>
      </w:r>
    </w:p>
    <w:p>
      <w:r>
        <w:t>Selon l'art. 82 al. 1 LP, le créancier dont la poursuite se fonde sur une reconnaissance de dette constatée par acte authentique ou sous seing privé peut requérir la mainlevée provisoire. Le juge de la mainlevée doit vérifier d'office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Constitue une reconnaissance de dette au sens de l'art. 82 LP, en particulier, l'acte sous seing privé, signé par le poursuivi ou son représentant, d'où ressort sa volonté de payer au poursuivant, sans réserve ni condition, une somme d'argent déterminée, ou aisément déterminable, et exigible (ATF 139 III 297 consid. 2.3.1). La reconnaissance de dette sous seing privé doit porter la signature du débiteur, apposée à la main (ABBET/VEUILLET, La mainlevée de l'opposition, 2022, n. 15 ad art. 82 LP). Une facture signée sans réserve ni condition par le débiteur remplit les conditions de l'art. 82 al. 1 LP (ABBET/VEUILLET, op. cit., n. 38 ad art. 82 LP). En revanche, des factures - non signées par le débiteur - ne valent pas reconnaissance de dette et ce, même si elles ne sont pas contestées (arrêt du Tribunal fédéral 5P_290/2006 du 12 octobre 2006 consid. 3.2 et les références citées). Lorsque la reconnaissance de dette n'a pas été signée par le débiteur lui-même, mais par un représentant légal ou contractuel, la mainlevée ne peut en principe être prononcée que sur le vu d'une pièce attestant des pouvoirs du représentant. Le Tribunal fédéral admet toutefois qu'il n'est à tout le moins pas arbitraire de prononcer la mainlevée même en l'absence d'une procuration écrite, lorsque les pouvoirs du représenté ne sont pas contestés ou s'ils peuvent se déduire d'un comportement du représenté au cours de la procédure de mainlevée, comportement dont il résulte clairement que</w:t>
      </w:r>
    </w:p>
    <w:p>
      <w:r>
        <w:t>- 5/6 -</w:t>
      </w:r>
    </w:p>
    <w:p>
      <w:r>
        <w:t>C/11572/2024 le représenté a signé en vertu de pouvoirs (ABBET/VEUILLET, op. cit., n. 18 ad art. 82 LP). Il incombe au créancier d'apporter la preuve stricte de l'existence d'un titre de mainlevée (arrêt du Tribunal fédéral 5A_1017/2017 du 12 septembre 2018 consid. 4.2, 4.3.1 et 4.3.2).</w:t>
      </w:r>
    </w:p>
    <w:p>
      <w:r>
        <w:rPr>
          <w:b/>
        </w:rPr>
        <w:t>E. 2.2</w:t>
      </w:r>
    </w:p>
    <w:p>
      <w:r>
        <w:t>En l'espèce, même à prendre en considération les factures produites portant une signature, celles-ci ne valent pas reconnaissances de dette au sens défini ci- dessus, de sorte que c'est à bon droit que le Tribunal a rejeté la requête. En effet, il est impossible de déterminer qui a signé ces factures, et la recourante ne soutient pas qu'il s'agirait d'un représentant autorisé de l'intimée. La production d'un extrait du Registre du commerce de celle-ci est inopérante à cet égard.</w:t>
      </w:r>
    </w:p>
    <w:p>
      <w:r>
        <w:t>Le recours, infondé, sera rejeté, sans qu'il y ait lieu de se prononcer plus avant sur les griefs soulevés par la recourante.</w:t>
      </w:r>
    </w:p>
    <w:p>
      <w:r>
        <w:rPr>
          <w:b/>
        </w:rPr>
        <w:t>E. 3</w:t>
      </w:r>
    </w:p>
    <w:p>
      <w:r>
        <w:t>Les frais du recours, arrêtés à 225 fr., seront mis à la charge de la recourante, qui succombe (art. 106 al. 1 CPC).</w:t>
      </w:r>
    </w:p>
    <w:p>
      <w:r>
        <w:t>Il ne sera pas alloué de dépens de recours à l'intimée qui ne s'est pas déterminée. * * * * *</w:t>
      </w:r>
    </w:p>
    <w:p>
      <w:r>
        <w:t>- 6/6 -</w:t>
      </w:r>
    </w:p>
    <w:p>
      <w:r>
        <w:t>C/11572/2024 PAR CES MOTIFS, La Chambre civile : A la forme : Déclare recevable le recours interjeté le 6 décembre 2024 par A______ SARL contre le jugement JTPI/14302/2024 rendu le 15 novembre 2024 par le Tribunal de première instance dans la cause C/11572/2024-17 SML. Au fond : Le rejette. Déboute les parties de toutes autres conclusions. Sur les frais : Arrête les frais du recours à 225 fr., les met à la charge de A______ SARL, et dit qu'ils sont compensés avec l'avance opérée, acquise à l'Etat de Genève. Dit qu''il n'est pas alloué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