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ACJC/1298/2021 vom 7. Oktober 2021</w:t>
      </w:r>
    </w:p>
    <w:p>
      <w:r>
        <w:t>GE Cour de justice, 2021-10-07, FR</w:t>
      </w:r>
    </w:p>
    <w:p>
      <w:r>
        <w:rPr>
          <w:b/>
        </w:rPr>
        <w:t xml:space="preserve">Quelle: </w:t>
      </w:r>
      <w:r>
        <w:t>https://mcp.opencaselaw.ch/entscheid/ge_gerichte_ACJC_1298_2021</w:t>
      </w:r>
    </w:p>
    <w:p>
      <w:r>
        <w:t>FR: GE_GERICHTE ACJC/1298/2021 du 7 octobre 2021</w:t>
      </w:r>
    </w:p>
    <w:p>
      <w:r>
        <w:t>IT: GE_GERICHTE ACJC/1298/2021 del 7 ottobre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Déposé selon la forme et dans le délai légal, le recours est recevable à cet égard. En ce qu'il est dirigé contre les chiffres 1 et 2 du dispositif, qui ne concernent pas le recourant, le recours est irrecevable.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Les maximes des débats et de disposition s'appliquent (art. 55 al. 1, 255 lit. a a contrario et 58 al. 1 CPC).</w:t>
      </w:r>
    </w:p>
    <w:p>
      <w:r>
        <w:t>- 6/11 -</w:t>
      </w:r>
    </w:p>
    <w:p>
      <w:r>
        <w:t>C/24901/2020</w:t>
      </w:r>
    </w:p>
    <w:p>
      <w:r>
        <w:rPr>
          <w:b/>
        </w:rPr>
        <w:t>E. 2</w:t>
      </w:r>
    </w:p>
    <w:p>
      <w:r>
        <w:t>L'extrait du Registre du commerce produit par le recourant est recevable, s'agissant d'un fait notoire (art. 151 CPC).</w:t>
      </w:r>
    </w:p>
    <w:p>
      <w:r>
        <w:rPr>
          <w:b/>
        </w:rPr>
        <w:t>E. 3</w:t>
      </w:r>
    </w:p>
    <w:p>
      <w:r>
        <w:t>Le recourant fait grief au Tribunal d'avoir déclaré recevable la requête de l'intimée, alors qu'elle comprenait des conclusions en mainlevée de l'opposition, dans le cadre de trois poursuites distinctes, dirigées contre des débiteurs différents. Il soutient que trois requêtes auraient dû être déposées.</w:t>
      </w:r>
    </w:p>
    <w:p>
      <w:r>
        <w:t>3.1.1 Lorsque des codébiteurs sont poursuivis simultanément, un commandement de payer est notifié à chacun d'eux (art. 70 al. 2 LP).</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 2.3 et les références).</w:t>
      </w:r>
    </w:p>
    <w:p>
      <w:r>
        <w:t>Selon la doctrine, il n'y a pas de consorité passive dans la procédure de mainlevée: un commandement de payer doit être notifié à chaque (co)débiteur et une procédure de mainlevée distincte doit être ouverte pour chaque opposition (VOCK, Kurzkommentar SchKG, 2014, n. 5 ad art. 84 LP; ABBET/VEUILLET, La mainlevée d'opposition, 2017, n. 34 ad art. 84 LP; STÜCHELI, Die Rechtsöffnung, Zurich 2000, p. 73).</w:t>
      </w:r>
    </w:p>
    <w:p>
      <w:r>
        <w:t>3.1.2 Les personnes dont les droits et les devoirs résultent de faits ou de fondements juridiques semblables peuvent agir ou être actionnées conjointement. La consorité simple est exclue lorsque les causes relèvent de procédures différentes. Chaque consort peut procéder indépendamment des autres (art. 70 CPC). Les demandes déposées par ou contre les consorts simples doivent présenter un lien de connexité (« les droits et les devoirs résultent de faits ou de fondements juridiques semblables »), par quoi il faut entendre que la consorité doit en définitive simplement paraître opportune (STAEHELIN/SCHWEIZER, ZPO Kommentar, art. 71 n. 4-8; RUGGLE, BSK CPC, art. 71 n. 14-15); la sanction de cette exigence est en outre la simple division des causes (art. 125 lit. b; RUGGLE BSK CPC, art. 71 n. 19). Le demandeur peut réunir dans la même action plusieurs prétentions contre le même défendeur, pour autant qu'elles soient soumises à la même procédure (art. 90 let. b CPC).</w:t>
      </w:r>
    </w:p>
    <w:p>
      <w:r>
        <w:t>- 7/11 -</w:t>
      </w:r>
    </w:p>
    <w:p>
      <w:r>
        <w:t>C/24901/2020 Le Tribunal fédéral a jugé qu'en cas de cumul d'actions contraire à l'art. 90 let. b CPC (nécessité de l'identité des procédures), la disjonction serait la solution adéquate, propre à remédier à l'irrégularité, et exempte de formalisme excessif. Un jugement d'irrecevabilité totale consacrerait de toute évidence un formalisme excessif (arrêt du Tribunal fédéral 4A_522/2019 du 7 avril 2020 consid.4). 3.1.3 Pour simplifier le procès, le tribunal peut notamment ordonner la division des causes (art. 125 let. b CPC).</w:t>
      </w:r>
    </w:p>
    <w:p>
      <w:r>
        <w:rPr>
          <w:b/>
        </w:rPr>
        <w:t>E. 3.2</w:t>
      </w:r>
    </w:p>
    <w:p>
      <w:r>
        <w:t>En l'espèce, l'intimée aurait dû déposer trois requêtes de mainlevée distinctes, soit une dirigée contre le recourant, les deux autres contre D______ et E______. Cela étant, il ne se justifie pas de déclarer la requête irrecevable dans son ensemble, sous peine de formalisme excessif, comme en a jugé le Tribunal fédéral dans l'arrêt précité, applicable par analogie. Le Tribunal aurait dû ordonner la division des causes.</w:t>
      </w:r>
    </w:p>
    <w:p>
      <w:r>
        <w:t>Le recourant ne dispose d'aucun intérêt à obtenir, au stade de l'appel, la division des causes, de sorte que celle-ci ne sera pas ordonnée.</w:t>
      </w:r>
    </w:p>
    <w:p>
      <w:r>
        <w:t>Le grief d'irrecevabilité, infondé, doit être rejeté.</w:t>
      </w:r>
    </w:p>
    <w:p>
      <w:r>
        <w:rPr>
          <w:b/>
        </w:rPr>
        <w:t>E. 4</w:t>
      </w:r>
    </w:p>
    <w:p>
      <w:r>
        <w:t>Le premier juge a retenu que le contrat de gérance libre et la reconnaissance de dettes, signés par les parties, ainsi que l'avenant du 1er novembre 2018 étaient des titres de mainlevée, et que ni A______ ni D______ et E______ n'avaient rendu vraisemblable leur libération. Les allégations de A______ sur le caractère falsifié de sa signature sur la reconnaissance de dette n'apparaissaient pas fondées en l'absence de justificatif, en particulier de la plainte qu'il aurait formée de ce fait. La mainlevée devait être prononcée.</w:t>
      </w:r>
    </w:p>
    <w:p>
      <w:r>
        <w:t>Le recourant fait grief au premier juge d'avoir considéré que les titres produits valaient reconnaissance de dette. Il n'avait pas signé l'avenant au contrat du 1er novembre 2018, de sorte qu'il n'était plus engagé dans les relations contractuelles découlant du contrat de gérance libre du 15 janvier 2018. Il n'était plus impliqué dans la société H______ SARL au moment de la signature de l'avenant précité. L'interprétation objective de ce document aurait dû conduire le juge à considérer que l'avenant emportait modification des parties au contrat. En cas de doute quant à cette interprétation, le Tribunal n'aurait pas dû prononcer la mainlevée. Enfin, il reproche au premier juge de n'avoir pas retenu que l'engagement pris par lui, dans le contrat du 15 janvier 2018, était un cautionnement, et que celui-ci était nul pour vice de forme.</w:t>
      </w:r>
    </w:p>
    <w:p>
      <w:r>
        <w:t>- 8/11 -</w:t>
      </w:r>
    </w:p>
    <w:p>
      <w:r>
        <w:t>C/24901/2020 4.1.1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contrat de bail signé constitue une reconnaissance de dette dans la poursuite en recouvrement du loyer (art. 257 CO) et des frais accessoires (art. 257a ss CO) dûment convenus et chiffrés (ABBET/VEUILLET, op. cit., n. 160 ad art. 82 LP et les références citées). Le contrat de gérance libre doit être considéré comme un contrat de bail à ferme non agricole (ATF 128 III 419).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w:t>
      </w:r>
    </w:p>
    <w:p>
      <w:r>
        <w:t>- 9/11 -</w:t>
      </w:r>
    </w:p>
    <w:p>
      <w:r>
        <w:t>C/24901/2020 arrêt du Tribunal fédéral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du 27 janvier 2021 consid. 3.2.2; 5A_89/2019 du 1er mai 2019 consid. 5.1.3 et les références). 4.1.2 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CO). L'engagement solidaire,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Chacune des obligations solidaires vivra son destin propre. Tout comme la garantie102, et à la différence du cautionnement, la reprise cumulative de dette n'est soumise à aucune forme (MEIER, CR CO I, Intro. art. 492-512 N 32).</w:t>
      </w:r>
    </w:p>
    <w:p>
      <w:r>
        <w:rPr>
          <w:b/>
        </w:rPr>
        <w:t>E. 4.2</w:t>
      </w:r>
    </w:p>
    <w:p>
      <w:r>
        <w:t>En l'espèce, c'est à bon droit que le Tribunal a considéré que les titres produits valaient reconnaissance de dette. Tout d'abord, la qualité de titre de mainlevée du contrat du 15 janvier 2018 n'est pas remise en cause par le recourant. Ensuite, l'avenant au contrat du 1er novembre 2018 stipule expressément que I______ SARL est "retirée du contrat de gérance libre". Il n'y a pas de mention identique concernant le recourant, lequel n'a d'ailleurs pas signé ce document. Il soutient même qu'il en ignorait l'existence, mais prétend cependant en déduire le droit de s'opposer à la mainlevée. Ainsi, à teneur de texte, le recourant n'était pas libéré du contrat du 15 janvier 2018 par l'avenant précité, lequel mentionne des codébiteurs, co-gérants et cocontractants, ce qui corrobore le fait que D______ ne demeurait pas seul obligé. Les éléments extrinsèques que le recourant fait valoir, découlant du fait qu'il n'était plus impliqué dans la société H______ SARL ni dans la gérance du restaurant à la date de la signature de l'avenant du 1er novembre 2018, n'avaient pas à être examinés par le juge de la mainlevée, mais relèvent de la compétence de celui du fond. De même, il ressort clairement du texte du contrat du 15 janvier 2018 que le débiteur était tenu conjointement et solidairement des obligations en résultant. Il</w:t>
      </w:r>
    </w:p>
    <w:p>
      <w:r>
        <w:t>- 10/11 -</w:t>
      </w:r>
    </w:p>
    <w:p>
      <w:r>
        <w:t>C/24901/2020 était d'ailleurs à cette époque gérant de la société H______ SARL, également partie au contrat. Le recourant est également visé par le jugement du Tribunal des baux et loyers du 12 novembre 2019, comme locataire, ce qui plaide en faveur de la solidarité et non du cautionnement. Ainsi, aucun élément ne permettait de considérer qu'il n'était engagé que comme caution aux côtés de H______ SARL, et que la forme authentique aurait été nécessaire pour que celle-ci soit valable. En conclusion, c'est à bon droit que le Tribunal a prononcé la mainlevée provisoire de l'opposition pour les postes 1 et 2 du commandement de payer, poursuite n° 3______. Le recours est infondé.</w:t>
      </w:r>
    </w:p>
    <w:p>
      <w:r>
        <w:rPr>
          <w:b/>
        </w:rPr>
        <w:t>E. 5</w:t>
      </w:r>
    </w:p>
    <w:p>
      <w:r>
        <w:t>Le recourant, qui succombe, sera condamné aux frais judiciaires du recours, arrêtés à 1'125 fr., y compris la décision sur effet suspensif (art. 48 et 61 OELP), compensés avec l'avance fournie, acquise à l'Etat.</w:t>
      </w:r>
    </w:p>
    <w:p>
      <w:r>
        <w:t>Il sera en outre condamné à verser à l'intimée la somme de 1'000 fr. TTC à titre de dépens de recours (art. 84, 85, 88 et 89 RTFMC, art. 23, 25 et 26 LaCC), compte tenu de la disproportion entre la valeur litigieuse et le travail effectif de l'avocat. * * * * *</w:t>
      </w:r>
    </w:p>
    <w:p>
      <w:r>
        <w:t>- 11/11 -</w:t>
      </w:r>
    </w:p>
    <w:p>
      <w:r>
        <w:t>C/24901/2020 PAR CES MOTIFS, La Chambre civile : A la forme : Déclare recevable le recours interjeté le 30 juin 2021 par A______ contre les chiffres 3 à 5 du dispositif du jugement JTPI/7656/2021 rendu le 10 juin 2021 par le Tribunal de première instance dans la cause C/24901/2020-8 SML. Le déclare irrecevable pour le surplus. Au fond : Le rejette. Déboute les parties de toutes autres conclusions. Sur les frais : Arrête les frais judiciaires du recours à 1'125 fr., les met à la charge de A______, et dit qu'ils sont compensés avec l'avance fournie, acquise à l'Etat de Genève. Condamne A______ à verser à B______ SA la somme de 1'000 fr. à titre de dépens de recours. Siégeant : Madame Pauline ERARD, présidente; Madame Sylvie DROIN et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