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ACJC/1297/2021 vom 8. Oktober 2021</w:t>
      </w:r>
    </w:p>
    <w:p>
      <w:r>
        <w:t>GE Cour de justice, 2021-10-08, FR</w:t>
      </w:r>
    </w:p>
    <w:p>
      <w:r>
        <w:rPr>
          <w:b/>
        </w:rPr>
        <w:t xml:space="preserve">Quelle: </w:t>
      </w:r>
      <w:r>
        <w:t>https://mcp.opencaselaw.ch/entscheid/ge_gerichte_ACJC_1297_2021</w:t>
      </w:r>
    </w:p>
    <w:p>
      <w:r>
        <w:t>FR: GE_GERICHTE ACJC/1297/2021 du 8 octobre 2021</w:t>
      </w:r>
    </w:p>
    <w:p>
      <w:r>
        <w:t>IT: GE_GERICHTE ACJC/1297/2021 del 8 ottobre 2021</w:t>
      </w:r>
    </w:p>
    <w:p>
      <w:pPr>
        <w:pStyle w:val="Heading2"/>
      </w:pPr>
      <w:r>
        <w:t>Erwägungen</w:t>
      </w:r>
    </w:p>
    <w:p>
      <w:r>
        <w:rPr>
          <w:b/>
        </w:rPr>
        <w:t>E. 1.1</w:t>
      </w:r>
    </w:p>
    <w:p>
      <w:r>
        <w:t>L'appel est recevable contre les décisions de première instance sur mesures provisionnelles (art. 308 al. 1 let. b CPC). Dans les affaires patrimoniales, il est recevable si la valeur litigieuse au dernier état des conclusions est de 10'000 fr. au moins (art. 308 al. 2 CPC). S'agissant d'une contestation portant sur l'existence d'une servitude, la valeur litigieuse correspond à l'augmentation de valeur qu'elle procure au fonds dominant ou, si elle est plus élevée, à la diminution de valeur du fonds servant. Pour une servitude de conduite, qui répond à un besoin fondamental en ce sens qu'elle assure le ravitaillement en eau, sa valeur correspond aux possibilités d'exploitation qu'elle confère, qui se détermine par la différence entre la valeur du terrain sans la conduite et celle qu'il détient grâce à la présence de cette installation (arrêt du Tribunal fédéral 5A_413/2009 du 2 février 2020, consid. 1.2). En l'espèce, vu la situation des parcelles et l'ampleur du projet de construction, il y a lieu de retenir que la plus-value apportée par la servitude litigieuse est supérieure à 10'000 fr. La voie de l'appel est par conséquent ouverte.</w:t>
      </w:r>
    </w:p>
    <w:p>
      <w:r>
        <w:rPr>
          <w:b/>
        </w:rPr>
        <w:t>E. 2</w:t>
      </w:r>
    </w:p>
    <w:p>
      <w:r>
        <w:t>Le Tribunal a considéré que l'engagement de l'intimée de ne pas procéder au raccordement des nouvelles constructions entreprises sur sa parcelle n° 1______ aux installations collectives privées d'évacuation des eaux usées et pluviales, tant que les mesures provisionnelles resteraient en vigueur, était suffisant pour garantir la sauvegarde des droits de l'appelante pour la durée de la procédure à introduire au fond. Le prononcé de l'arrêt total du chantier apparaissait disproportionné.</w:t>
      </w:r>
    </w:p>
    <w:p>
      <w:r>
        <w:t>L'appelante fait valoir qu'elle subit un dommage du fait de l'utilisation des canalisations pour évacuer les eaux provenant du chantier en cours sur la parcelle de l'intimée.</w:t>
      </w:r>
    </w:p>
    <w:p>
      <w:r>
        <w:t>L'intimée expose pour sa part que le risque d'un tel dommage n'est pas vraisemblable car les installations de chantier consistent uniquement en un WC et un évier métallique avec trois robinets pour que les ouvriers puissent se laver les mains. Ces installations étaient de plus uniquement raccordées au réseau de canalisation des eaux usées, conformément à l'autorisation de construire. Aucune installation de chantier n'était reliée au réseau des eaux claires. 2.1.1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Le tribunal peut ordonner toute mesure provisionnelle propre à prévenir ou à faire cesser le préjudice, notamment une interdiction (art. 262 let. a CPC).</w:t>
      </w:r>
    </w:p>
    <w:p>
      <w:r>
        <w:t>- 6/8 -</w:t>
      </w:r>
    </w:p>
    <w:p>
      <w:r>
        <w:t>C/9061/2021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spéc. 6961; BOHNET, Commentaire romand, N 3 ss ad art. 261 CPC). Le requérant doit rendre également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(arrêt du Tribunal fédéral 4A_611/2011 du</w:t>
      </w:r>
    </w:p>
    <w:p>
      <w:r>
        <w:rPr>
          <w:b/>
        </w:rPr>
        <w:t>E. 2.2</w:t>
      </w:r>
    </w:p>
    <w:p>
      <w:r>
        <w:t>En l'espèce, l'intimée a allégué devant le Tribunal qu'elle risquait de subir un préjudice difficilement réparable en cas de raccordement des canalisations des quatre villas prévues par le projet de construction de l'intimée, en raison du fait que la remise en état ultérieure du réseau serait ardue et coûteuse et impliquerait de lourds travaux. Le collecteur risquait en outre d'être surchargé après la construction des villas.</w:t>
      </w:r>
    </w:p>
    <w:p>
      <w:r>
        <w:t>Elle n'a par contre pas allégué qu'elle risquait de subir un dommage en raison de l'utilisation des canalisations du seul fait des installations du chantier de l'intimée.</w:t>
      </w:r>
    </w:p>
    <w:p>
      <w:r>
        <w:t>Cette allégation nouvelle aurait pu être formulée devant le Tribunal et est par conséquent irrecevable pour cause de tardiveté, en application de l'art. 317 al. 1 CPC.</w:t>
      </w:r>
    </w:p>
    <w:p>
      <w:r>
        <w:t>- 7/8 -</w:t>
      </w:r>
    </w:p>
    <w:p>
      <w:r>
        <w:t>C/9061/2021</w:t>
      </w:r>
    </w:p>
    <w:p>
      <w:r>
        <w:t>Il en va de même des conclusions subsidiaires nouvelles de l'appelante, lesquelles sont fondées sur cette allégation nouvelle irrecevable (art. 317 al. 2 CPC).</w:t>
      </w:r>
    </w:p>
    <w:p>
      <w:r>
        <w:t>L'appelante n'a ainsi pas rendu vraisemblable qu'elle risquait de subir un préjudice difficilement réparable en cas de refus de la mesure provisionnelle qu'elle requiert, puisque la seule allégation sur laquelle elle fonde un tel risque est irrecevable.</w:t>
      </w:r>
    </w:p>
    <w:p>
      <w:r>
        <w:t>L'une des conditions posées par la loi pour le prononcé de mesures provisionnelles n'étant pas réalisée, c'est dès lors à juste titre que le Tribunal a rejeté la requête de l'appelante.</w:t>
      </w:r>
    </w:p>
    <w:p>
      <w:r>
        <w:t>En tout état de cause, même à supposer que l'allégation nouvelle de l'appelante ait été recevable, cela ne lui aurait pas pour autant donné droit à l'obtention de la mesure requise.</w:t>
      </w:r>
    </w:p>
    <w:p>
      <w:r>
        <w:t>En effet, il n'est pas vraisemblable que l'utilisation par l'intimée des canalisations litigieuses d'évacuation des eaux usées, pendant la durée du chantier, pour évacuer les eaux résultant de l'usage d'un WC et de trois robinets, soit susceptible de causer à l'appelante un dommage difficilement réparable.</w:t>
      </w:r>
    </w:p>
    <w:p>
      <w:r>
        <w:t>Compte tenu de ce qui précède, le jugement querellé sera confirmé.</w:t>
      </w:r>
    </w:p>
    <w:p>
      <w:r>
        <w:t>Il n'est par conséquent pas nécessaire de trancher la question de la recevabilité des pièces nouvelles déposées par les parties.</w:t>
      </w:r>
    </w:p>
    <w:p>
      <w:r>
        <w:rPr>
          <w:b/>
        </w:rPr>
        <w:t>E. 3</w:t>
      </w:r>
    </w:p>
    <w:p>
      <w:r>
        <w:t>L'appelante, qui succombe, sera condamnée aux frais d'appel (art. 106 al. 1 CPC).</w:t>
      </w:r>
    </w:p>
    <w:p>
      <w:r>
        <w:t>Les frais judiciaires seront fixés à 1'200 fr. et compensés avec l'avance fournie par l'appelante, acquise à l'Etat de Genève (art. 111 CPC; 26 et 37 RTFMC).</w:t>
      </w:r>
    </w:p>
    <w:p>
      <w:r>
        <w:t>L'appelante sera condamnée à verser à l'intimée 2'000 fr. à titre de dépens d'appel, débours et TVA inclus (art. 85, 88 et 90 RTFMC). * * * * *</w:t>
      </w:r>
    </w:p>
    <w:p>
      <w:r>
        <w:t>- 8/8 -</w:t>
      </w:r>
    </w:p>
    <w:p>
      <w:r>
        <w:t>C/9061/2021 PAR CES MOTIFS, La Chambre civile : A la forme : Déclare recevable l'appel interjeté par A______ contre l'ordonnance OTPI/541/2021 rendue le 28 juin 2021 par le Tribunal de première instance dans la cause C/9061/2021- 25 SP. Au fond : Confirme l'ordonnance querellée. Déboute les parties de toutes autres conclusions. Sur les frais : Met à la charge de A______ les frais judiciaires d'appel, arrêtés à 1'200 fr. et compensés avec l'avance fournie, acquise à l'Etat de Genève. Condamne A______ à verser à la B______ SA 2'000 fr. à titre de dépens d'appel. Siégeant : Monsieur Laurent RIEBEN, président; Madame Sylvie DROIN et Madame Fabienne GEISINGER-MARIETHOZ, juges; Madame Laura SESSA, greffière. Le président : Laurent RIEBEN</w:t>
      </w:r>
    </w:p>
    <w:p>
      <w:r>
        <w:t>La greffière : Laura SESSA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