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ACJC/1296/2021 vom 11. Oktober 2021</w:t>
      </w:r>
    </w:p>
    <w:p>
      <w:r>
        <w:t>GE Cour de justice, 2021-10-11, FR</w:t>
      </w:r>
    </w:p>
    <w:p>
      <w:r>
        <w:rPr>
          <w:b/>
        </w:rPr>
        <w:t xml:space="preserve">Quelle: </w:t>
      </w:r>
      <w:r>
        <w:t>https://mcp.opencaselaw.ch/entscheid/ge_gerichte_ACJC_1296_2021</w:t>
      </w:r>
    </w:p>
    <w:p>
      <w:r>
        <w:t>FR: GE_GERICHTE ACJC/1296/2021 du 11 octobre 2021</w:t>
      </w:r>
    </w:p>
    <w:p>
      <w:r>
        <w:t>IT: GE_GERICHTE ACJC/1296/2021 del 11 ottobre 2021</w:t>
      </w:r>
    </w:p>
    <w:p>
      <w:pPr>
        <w:pStyle w:val="Heading2"/>
      </w:pPr>
      <w:r>
        <w:t>Erwägungen</w:t>
      </w:r>
    </w:p>
    <w:p>
      <w:r>
        <w:rPr>
          <w:b/>
        </w:rPr>
        <w:t>E. 1.1</w:t>
      </w:r>
    </w:p>
    <w:p>
      <w:r>
        <w:t>L'acte du 12 avril 2021 est intitulé "recours" et mentionne une valeur litigieuse au dernier état des conclusions de 5'000 fr.</w:t>
      </w:r>
    </w:p>
    <w:p>
      <w:r>
        <w:rPr>
          <w:b/>
        </w:rPr>
        <w:t>E. 1.1.1</w:t>
      </w:r>
    </w:p>
    <w:p>
      <w:r>
        <w:t>L'appel est recevable contre les décisions finales de première instance (art. 308 al. 1 let. a CPC), dans les causes non patrimoniales ou dont la valeur litigieuse est supérieure à 10'000 fr. au dernier état des conclusions (art. 308 al. 2 CPC).</w:t>
      </w:r>
    </w:p>
    <w:p>
      <w:r>
        <w:t>Le recours est notamment recevable contre les décisions finales, incidentes et provisionnelles de première instance qui ne peuvent faire l'objet d'un appel (art. 319 let. a CPC), donc, entre autres, dans les affaires patrimoniales dont la valeur litigieuse est inférieure à 10'000 fr.</w:t>
      </w:r>
    </w:p>
    <w:p>
      <w:r>
        <w:t>- 8/21 -</w:t>
      </w:r>
    </w:p>
    <w:p>
      <w:r>
        <w:t>C/24884/2018 Les droits fondant des prétentions non pécuniaires sont par leur nature des droits qui ne peuvent pas être estimés en argent (ATF 139 II 404 consid. 12.1; 108 II 77 conisd. 1a). Ce sont des droits qui n'appartiennent pas au patrimoine d'une personne et qui ne sont pas liés étroitement à des relations de nature pécuniaires. Le fait que le calcul précis de la valeur litigieuse ne soit pas possible ou que son estimation s'avère difficile ne suffit pas à considérer l'objet de la procédure comme non patrimonial. Il faut déterminer si, in fine, des intérêts économiques prépondérants sont visés (ATF 142 III 145 consid. 6.1; 139 II 404 consid 12.1; 118 II 528 consid. 2c). Si tel est le cas, l'on est en présence d'un litige patrimonial (ATF 135 III 578 consid. 6.3; arrêt du Tribunal fédéral 4A_235/2014 du 2 juillet 2014 consid. 2.3). Les affaires portant sur la protection de la personnalité sont de nature non patrimoniale, sauf si la demande porte exclusivement sur des dommages-intérêts (ATF 142 III 145 consid. 6.1; 127 III 481 consid. 1; arrêt du Tribunal fédéral 5A_901/2019 du 9 juillet 2020 consid. 1) et ce même si des intérêts économiques y sont liés (arrêt du Tribunal fédéral 5A_639/2014 du 8 septembre 2015 consid. 1.1). Ainsi, lorsqu'une procédure porte essentiellement sur une action en protection de la personnalité de nature constatatoire, mais que parallèlement des dommages- intérêts en réparation du tort moral sont réclamés, le point essentiel est celui de la violation des droits de la personnalité. Par conséquent, la cause est non pécuniaire (ATF 102 II 161 consid. 1; arrêt du Tribunal fédéral 5A_603/2009 du 26 octobre 2009 consid. 2).</w:t>
      </w:r>
    </w:p>
    <w:p>
      <w:r>
        <w:rPr>
          <w:b/>
        </w:rPr>
        <w:t>E. 1.1.2</w:t>
      </w:r>
    </w:p>
    <w:p>
      <w:r>
        <w:t>En l'espèce, l'action du "recourant" porte sur des mesures tendant à la protection de sa personnalité, soit son droit à l'honneur et sa liberté économique. Il demande une réparation du tort moral à hauteur de 5'000 fr. pour l'atteinte à l'honneur qu'il prétend avoir subie, selon le dernier état des conclusions litigieuses en première instance. Il faut donc examiner s'il l'on est en présence d'un litige patrimonial ou non patrimonial dans son ensemble. A ce sujet, les parties divergent. L'intimée, dans sa réponse à l'appel, soutient en substance que l'action fondée sur le droit de la personnalité en cessation de l'atteinte était l'objet principal du litige, alors que le versement de 5'000 fr. susévoqué était subsidiaire. Il s'agissait donc d'une affaire non patrimoniale. De toute manière, les conclusions pécuniaires en réparation du dommage dépassaient à l'origine 100'000 fr., de sorte que, même à considérer l'affaire comme patrimoniale, il fallait considérer que la valeur litigieuse excédait 10'000 fr. Le "recourant" admet que son action était liée à des droits de la personnalité, mais elle tendait, notamment, au versement d'une somme d'argent. Il s'agissait donc</w:t>
      </w:r>
    </w:p>
    <w:p>
      <w:r>
        <w:t>- 9/21 -</w:t>
      </w:r>
    </w:p>
    <w:p>
      <w:r>
        <w:t>C/24884/2018 d'une action mixte, à savoir poursuivant un but idéal et économique, mais l'objectif essentiel de sa démarche était économique, soit la reprise sans entrave de son activité professionnelle. L'on se trouve en l'occurrence en présence d'une personne physique qui invoque son droit à l'honneur et sa liberté économique. Le "recourant" développe essentiellement des considérations professionnelles à l'appui de sa prétention, mais il s'avère que ses comptes privés sont aussi concernés par le refus de contracter de l'intimée. En outre, le droit à l'honneur ne saurait s'entendre, pour un avocat par exemple et comme en l'espèce, dans une acception purement économique. Si, certes, la mauvaise réputation d'un avocat peut être de nature à lui causer un préjudice économique sous la forme de la perte de clients, l'intéressé peut aussi en souffrir en tant que personne privée et de manière non quantifiable en argent, sous réserve du tort moral. D'ailleurs, en l'espèce, le "recourant" a pris pour seule conclusion pécuniaire la réparation d'un tort moral, ce qui démontre le caractère pas seulement économique de l'atteinte dont il se plaint. Il ne se trouve donc pas dans la même situation qu'une personne morale à but lucratif dont une éventuelle atteinte à la personnalité peut n'avoir que des conséquences économiques. En raison de son caractère mixte, la prétention litigieuse est donc non patrimoniale au sens du CPC. Il s'ensuit que, nonobstant la valeur litigieuse des conclusions pécuniaires inférieures à 10'000 fr., la cause porte sur une affaire non patrimoniale, dans le cadre de laquelle la voie de l'appel est ouverte contre une décision finale.</w:t>
      </w:r>
    </w:p>
    <w:p>
      <w:r>
        <w:rPr>
          <w:b/>
        </w:rPr>
        <w:t>E. 1.2</w:t>
      </w:r>
    </w:p>
    <w:p>
      <w:r>
        <w:t>L'intimée soutient que le "recourant" a introduit fautivement un recours en lieu et place d'un appel et que par conséquent son acte est irrecevable.</w:t>
      </w:r>
    </w:p>
    <w:p>
      <w:r>
        <w:rPr>
          <w:b/>
        </w:rPr>
        <w:t>E. 1.2.1</w:t>
      </w:r>
    </w:p>
    <w:p>
      <w:r>
        <w:t>L'appel, écrit et motivé, est introduit auprès de l'instance d'appel dans les 30 jours à compter de la notification de la décision motivée (art. 311 al. 1 CPC) par une personne qui a un intérêt digne de protection (art. 59 al. 2 let. a CPC). Le tribunal examine d'office si les conditions de recevabilité sont remplies (art. 60 CPC).</w:t>
      </w:r>
    </w:p>
    <w:p>
      <w:r>
        <w:rPr>
          <w:b/>
        </w:rPr>
        <w:t>E. 1.2.2</w:t>
      </w:r>
    </w:p>
    <w:p>
      <w:r>
        <w:t>La conversion des actes de recours erronés se résout, selon l'origine de l'erreur du choix de la voie de droit, à l'aune du principe de la bonne foi (art. 5 al.</w:t>
      </w:r>
    </w:p>
    <w:p>
      <w:r>
        <w:rPr>
          <w:b/>
        </w:rPr>
        <w:t>E. 1.2.3</w:t>
      </w:r>
    </w:p>
    <w:p>
      <w:r>
        <w:t>En l'espèce, l'acte du 12 avril 2021 est intitulé "recours" et fondé sur les art. 319 ss CPC, alors que la décision du Tribunal devait être entreprise par un appel (art. 308 ss CPC), ce qui était expressément mentionné au pied de ladite décision. Il s'agit donc d'examiner si l'acte peut être converti en appel. A la forme, l'acte du 12 avril 2021 répond aux réquisits d'un appel, car il a été déposé dans le délai prescrit (cf. également art. 145 al. 1 let. a CPC), contient des conclusions, ainsi qu'une motivation, ce qui n'est pas contesté par l'intimée.</w:t>
      </w:r>
    </w:p>
    <w:p>
      <w:r>
        <w:t>- 11/21 -</w:t>
      </w:r>
    </w:p>
    <w:p>
      <w:r>
        <w:t>C/24884/2018 Celle-ci fait valoir que l'erreur dans la désignation de l'acte doit être sanctionnée par l'irrecevabilité de celui-ci, car il a été déposé par un avocat qui n'a pas respecté les voies de droit mentionnées dans le jugement entrepris. Au vu des développements figurant au considérant 1.1 supra, la réponse à la question de savoir s'il fallait déposer un appel ou un recours n'était pas d'emblée évidente et ne saurait donc être assimilée à un choix délibéré de la partie ou de son représentant. Par conséquent, il apparaîtrait comme excessivement formaliste de déclarer irrecevable le "recours", alors que sa conversion en appel ne porte pas atteinte aux droits de l'intimée, d'autant plus que l'appelant s'est limité à des griefs juridiques comme il aurait dû le faire en présence d'une décision sujette à recours au sens des art. 319 ss CPC. En définitive, l'acte du 12 avril 2021 est recevable en tant qu'appel. 2. L'appelant se plaint d'une violation de son droit à la preuve, soit son droit à faire entendre des témoins. En outre, il se plaint d'une mauvaise application du droit sous l'angle de la protection de son droit à l'honneur et de sa liberté économique, plus particulièrement de l'interdiction du boycott dont il serait l'objet du fait de l'intimée.</w:t>
      </w:r>
    </w:p>
    <w:p>
      <w:r>
        <w:t>2.1 2.1.1 Celui qui subit une atteinte illicite à sa personnalité peut agir en justice pour sa protection contre toute personne qui y participe (art. 28 al. 1 CC).</w:t>
      </w:r>
    </w:p>
    <w:p>
      <w:r>
        <w:t>L'art. 28a al. 1 CC prévoit que le demandeur peut requérir le juge d'interdire une atteinte illicite, si elle est imminente (ch. 1), de la faire cesser, si elle dure encore (ch. 2) et d'en constater le caractère illicite, si le trouble qu'elle a créé subsiste (ch. 3). Une atteinte est illicite, à moins qu'elle ne soit justifiée par le consentement de la victime, par un intérêt prépondérant privé ou public, ou par la loi (art. 28 al. 2 CC). L'atteinte résultant de faits inexacts n'est en principe jamais licite (ATF 132 III 645 consid. 3.2; arrêt du Tribunal fédéral 5A_641/2011 du 23 février 2012 consid. 7.2.2.1). En outre, une atteinte n'est en aucun cas licite du seul fait que l'auteur croyait de bonne foi que ses informations étaient exactes (ATF 126 III 209 consid 3a). Les normes générales de protection de la personnalité sont de natures subsidiaires par rapport aux normes spéciales, telles celles de la LCD. Le fait qu'un comportement tombe sous le coup de la LCD n'empêche pas la victime d'actionner l'auteur sur la base de l'art. 28a CC. Les dispositions générales de</w:t>
      </w:r>
    </w:p>
    <w:p>
      <w:r>
        <w:t>- 12/21 -</w:t>
      </w:r>
    </w:p>
    <w:p>
      <w:r>
        <w:t>C/24884/2018 protection de la personnalité et la réglementation spéciale de la LCD ne s'excluent pas (arrêt du Tribunal fédéral 5A_376/2013 du 29 octobre 2013 consid. 2.1). Selon l'article 28a al. 3 CC, l'action en réparation du tort moral est réservée. 2.1.2 L'art. 28 CC protège entre autres le sentiment qu'une personne a de sa propre dignité ("honneur interne"), ainsi que toutes les qualités nécessaires à une personne pour être respectée dans son milieu social ("honneur externe"). Il s'agit de la protection de la personnalité affective et sociale. L'honneur externe comprend, non seulement le droit d'une personne à la considération morale, c'est- 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La protection est plus étendue que celle du droit pénal (ATF 134 III 193 consid. 4.5; 129 III 49 consid. 2.2; 127 III 481 consid. 2b/aa; 126 III 209 consid. 3a in fine; arrêt du Tribunal fédéral 4A_248/2019 et 4A_398/2019 du 25 août 2020 consid. 10.1; KIRCHSCHLÄGER, Haftpflichtkommentar - Kommentar zu den schweizerischen Haftpflicht-bestimmungen, 2016, n. 13 et 17 ad art. 28 et 28a CC). L'"atteinte" au sens de l'art. 28 al. 1 CC est réalisée par tout comportement humain, tout acte de tiers, qui cause de quelconque manière un trouble aux biens de la personnalité d'autrui en violation des droits qui la protègent (ATF 120 II 369 consid. 2). L'atteinte à l'honneur peut résulter d'allégations de fait ou d'appréciations subjectives, sans qu'il importe de savoir, dans un premier temps, si les faits allégués sont vrais, incomplets ou inexacts, ou si les critiques sont justifiées ou non (cf. ATF 122 III 449 consid. 3a).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(ATF 103 II 161 consid. 1c; 91 II 401 consid. 3). Les opinions, commentaires et jugements de valeur sont admissibles, autant qu'ils apparaissent soutenables au regard de l'état de fait auquel ils se réfèrent, à moins que leur forme ne rabaisse inutilement la personne visée (ATF 126 III 305 consid. 4b/bb et les arrêts cités; arrêts du Tribunal fédéral 5A_605/2007 du 4 décembre 2008 consid. 2.1 et 5A_76/2018 du 29 mars 2018 consid. 2).</w:t>
      </w:r>
    </w:p>
    <w:p>
      <w:r>
        <w:t>- 13/21 -</w:t>
      </w:r>
    </w:p>
    <w:p>
      <w:r>
        <w:t>C/24884/2018 En pratique, il faut procéder en deux étapes : déterminer si une atteinte à la personnalité existe, puis vérifier l'existence d'un motif justificatif. Le fardeau de la preuve de l'atteinte à la personnalité est supporté par le demandeur, le défendeur devant démontrer qu'il existe un motif justificatif (ATF 136 III 410 consid. 2.2.1 et 2.3; arrêt du Tribunal fédéral 5A_76/2018 du 29 mars 2018 consid. 2). 2.1.3 L'art. 28 CC protège également le droit à la liberté économique, à savoir le droit de toute personne d'exercer librement, mais dans les limites de la loi, une activité économique qui lui permette d'acquérir les moyens d'existence pour elle et les siens, ce qui l'habilite à s'en prévaloir contre tout tiers qui remettrait cette liberté en cause (MEILI, Basler Kommentar - ZGB I, 6ème éd. 2018, n. 31 ad art. 28 CC; JEANDIN, Commentaire Romand - CC I, 2010, n. 49 ad art. 28 CC). 2.1.4 La liberté contractuelle est l'un des piliers de l'ordre juridique suisse, voire "l'une des pierres angulaires de la vie en société". Elle se situe par conséquent à l'intersection du droit constitutionnel - en tant qu'elle relève de la liberté économique (art. 27 Cst.), voire d'autres droits fondamentaux telle la liberté personnelle (art. 10 Cst.) - et du droit des obligations - l'objet du contrat pouvant, selon l'art. 19 al. 1 CO, être librement déterminé, dans les limites de la loi (GUILLOD/STEFFEN, Commentaire Romand - CO I, 2ème 2012, n. 5 ad art. 19 et 20 CO; MARTENET, Commentaire Romand - Cst., 2021, n. 55 ad art. 27 Cst.; PFISTER, Approche constitutionnelle de l'obligation de contracter, in Vertrauen - Vertrag - Verantwortung - Festschrift für Hans Caspar VON DER CRONE, 2007, p. 130 s. ; pour la liberté contractuelle comme liberté économique : ATF 131 I 223 consid. 4.1). La liberté contractuelle présente diverses facettes : liberté de contracter, liberté de l'objet du contrat ou de sa forme et liberté de mettre fin aux relations contractuelles (ATF 129 III 35 consid. 6.1 in JdT 2003 I p. 127).</w:t>
      </w:r>
    </w:p>
    <w:p>
      <w:r>
        <w:t>Le pendant de la liberté contractuelle est l'obligation de contracter. Celle-ci peut découler soit d'un contrat - plus précisément et en général, un "pré-contrat" - ou de la loi (ATF 129 III 35 consid. 6.1).</w:t>
      </w:r>
    </w:p>
    <w:p>
      <w:r>
        <w:t>Parmi les obligations légales de contracter, il faut distinguer celles qui résultent d'une base légale expresse (par exemple les art. 13 ss de la loi fédérale sur la poste prévoyant le service universel fourni par celle-ci) ou des principes généraux de droit privé, à savoir en particulier la protection de la liberté de commerce (art. 28 CC) ou la protection des bonnes mœurs (ATF 129 III 35 consid. 6.2).</w:t>
      </w:r>
    </w:p>
    <w:p>
      <w:r>
        <w:t>La jurisprudence a dégagé quatre conditions cumulatives fondant une obligation de contracter dans le cadre des principes généraux de droit privé et en l'absence de base légale expresse. L'admission d'une obligation de contracter suppose d'abord qu'un entrepreneur offre des marchandises ou des services d'une manière générale et publique. Deuxièmement, l'obligation de contracter ne peut concerner que des biens ou des services qui relèvent d'un besoin normal, ce par quoi il faut</w:t>
      </w:r>
    </w:p>
    <w:p>
      <w:r>
        <w:t>- 14/21 -</w:t>
      </w:r>
    </w:p>
    <w:p>
      <w:r>
        <w:t>C/24884/2018 comprendre les biens et services accessibles à pratiquement tout le monde et utilisés au quotidien. Troisièmement, il faut que la personne souhaitant la conclusion du contrat ne puisse pas, en raison de la position dominante de l'entrepreneur sur le marché, disposer d'autres moyens envisageables de satisfaire ses besoins normaux. Une telle position dominante est admise lorsqu'un seul entrepreneur est suffisamment accessible ou lorsque tous ceux qui entrent en ligne de compte refusent également de conclure un contrat avec la personne intéressée. Quatrièmement, l'entrepreneur doit contracter s'il n'est pas en mesure d'indiquer des motifs objectivement justifiés pour expliquer son refus. L'admission d'une obligation de contracter doit demeurer exceptionnelle (ATF 129 III 35 consid. 6.3).</w:t>
      </w:r>
    </w:p>
    <w:p>
      <w:r>
        <w:t>Ainsi, le Tribunal fédéral a admis que l'association qui souhaitait recourir aux services de la Poste pour distribuer un tout ménage, soit un service pour lequel il n'existait pas d'obligation légale expresse de contracter, remplissait les conditions qui précèdent et pouvait exiger de contracter avec la Poste, car le refus de celle-ci contrevenait à la protection des bonnes mœurs (ATF 129 III 55 consid. 6.4). Cette jurisprudence envisage une dérogation au caractère en principe seulement négatoire des atteintes à la personnalité (AEBI-MÜLLER, Personen- und Familienrecht - Partnerschaftsgesetz Art. 1-456 ZGB - PartG - Handkommentar zum Schweizer Privatrecht, 3ème éd. 2016, n. 7 ad art. 28 CC). 2.1.5 Le boycott consiste dans l'abstention concertée de relations économiques avec une personne qui se livre à une activité industrielle ou commerciale ou avec un employé afin de les forcer à faire un acte déterminé ou à s'en abstenir ou de les punir pour un certain acte ou une certaine abstention. Tout boycott non permis suppose le fait de mésuser de la liberté de contracter, soit qu'il s'agisse de la défense intimée par une union à ses membres ou à des tiers de conclure des marchés avec une personne déterminée (boycott indirect), soit que la mesure consiste, pour une union qui possède un monopole de fait, à ne pas conclure de contrats ou à en aggraver les conditions (boycott direct). Mais boycotter, ce n'est pas simplement s'unir entre plusieurs pour ne pas conclure de marchés avec telle ou telle personne. Il y a plus que cela: c'est l'évincement organisé d'un industriel, d'un commerçant ou d'un employé pour l'amener à faire quelque chose ou à s'en abstenir, - que ce soit afin qu'il abandonne ou n'entreprenne pas une certaine activité économique (boycott d'anéantissement ou boycott d'évincement), ou afin qu'il exerce cette activité conformément aux conditions qui lui sont imposées (boycott d'assujettissement). Celui qui, par des mesures collectives, se propose d'empêcher, durablement ou temporairement, autrui de prendre part au jeu de la libre concurrence ou qui met des entraves à cette compétition, ou encore qui impose au concurrent les conditions de sa participation, celui-là porte atteinte aux intérêts personnels de cet individu et à son droit à la liberté du commerce et de l'industrie. Mais cette liberté ne lui confère pas le droit à une existence</w:t>
      </w:r>
    </w:p>
    <w:p>
      <w:r>
        <w:t>- 15/21 -</w:t>
      </w:r>
    </w:p>
    <w:p>
      <w:r>
        <w:t>C/24884/2018 économique assurée; elle ne le protège point contre les conséquences d'une compétition économique qui se déroule selon les règles de la bonne foi, où il se heurte soit à un autre compétiteur, soit a un ensemble de concurrents. Le boycott dépasse précisément les limites de ce que chacun doit supporter dans le jeu normal de la libre concurrence. Le boycotteur se propose de supprimer le concurrent sur le marché par une coercition organisée, de l'évincer ou de l'assujettir ou encore de le punir. Le boycott viole le droit de la personnalité tendant au libre exercice d'une activité économique; il est donc en principe illicite. Seul n'agit pas d'une manière contraire au droit celui qui, par le moyen du boycott, défend des intérêts légitimes manifestement prépondérants et qu'il ne peut sauvegarder d'aucune autre manière. La preuve des motifs justifiant le boycott incombe à l'auteur de celui-ci (art. 8 CC) (ATF 86 II 365 consid. 3 et 4 in JdT 1961 I 165 et les références citées; arrêt du Tribunal fédéral 6B_1458/2020 du 7 avril 2021 consid. 1.5). Il en découle que, selon le Tribunal fédéral, le boycott n'est envisageable que s'il résulte d'une abstention organisée de plusieurs acteurs du marché : le refus de contracter d'un seul, même en situation de monopole sur le marché, ne constitue pas un boycott (BENGTSSON-BÄNZIGER, Der Konsumentenboykott im Wettbewerb, 2008, n. 37). La jurisprudence relative au boycott économique a finalement trouvé son expression dans la loi fédérale sur les cartels (LCart), soit plus particulièrement aux art. 6 et 7 LCart (BÜCHLER, ZGB Kommentar Schweizerisches Zivilgesetzbuch, 3ème éd. 2016, n. 8 ad art. 28 CC), plus précisément et expressément à l'art. 7 al. 2 let. a LCart. 2.1.6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(ATF 138 III 374 consid. 4.3.1, ATF 133 III 189 consid. 5.2.2, ATF 133 III 295 consid. 7.1; ATF 129 III 18 consid.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arrêts du Tribunal fédéral</w:t>
      </w:r>
    </w:p>
    <w:p>
      <w:r>
        <w:t>- 16/21 -</w:t>
      </w:r>
    </w:p>
    <w:p>
      <w:r>
        <w:t>C/24884/2018 5A_801/2019 du 26 mai 2020 consid. 6.3; 5A_272/2015 du 5 juillet 2015 consid. 2.2.1; 5A_906/2012 du 18 avril 2013 consid. 5.1; 5A_597/2007 du 17 avril 2008 consid. 2.3). En d'autres termes, si l'audition requise de témoins n'est pas mentionnée dans l'ordonnance de preuves, il incombe à la partie requérante d'indiquer au tribunal qu'elle maintient sa réquisition d'audition. En ne formulant pas une telle réquisition à l'audience des débats principaux, ou en ne se plaignant pas de l'omission d'entendre les témoins, et en attendant l'issue de la procédure, elle perd le droit de se plaindre de ce vice dans la procédure de recours (arrêt du Tribunal fédéral 4D_5/2015 du 2 octobre 2015 consid. 2.2). 2.2 En l'espèce, l'appelant développe trois griefs dans l'ordre suivant : une violation de son droit d'être entendu, une violation de son droit à l'honneur et une atteinte à sa liberté économique. Il se justifie de traiter le dernier de ses griefs en premier, puisque la détermination d'une obligation de contracter de l'intimée conditionne l'analyse des deux autres griefs, ainsi qu'on va le voir. 2.2.1 En substance, l'intimée a rompu toutes relations contractuelles existant avec l'appelant et refuse, depuis, d'en conclure de nouvelles, sous quelque forme que ce soit. Contrairement à l'opinion de l'appelant, l'on ne se trouve pas, juridiquement parlant, en présence d'une situation de boycott. En effet, même à retenir une position dominante de l'intimée sur le marché bancaire suisse, il n'existe aucune concertation avec des tiers dans son refus de contracter avec l'appelante. Ainsi, les éléments constitutifs d'un boycott ne sont pas réalisés. De surcroît, l'on pourrait s'interroger sur la compétence du Tribunal de se saisir, en première instance, d'une telle question sous l'angle du boycott, qui relève expressément de l'art. 7 al. 2 LCart. En effet, ce domaine du droit est réservé à l'instance cantonale unique en vertu de l'art. 5 let. b CPC, soit à Genève, la Cour (art. 120 al. 1 let. a LOJ). Il s'agit plutôt d'examiner si l'intimée peut être contrainte à contracter avec l'appelant. Les conclusions de celui-ci, formulées sous un aspect négatoire ("lever la mesure d'interdiction systématique"), visent en réalité une obligation de faire, soit de contracter avec lui. Dès lors qu'il n'existe aucune base légale expresse obligeant l'intimée à contracter, il faut vérifier l'application des quatre conditions cumulatives décrites plus haut et dégagées par le Tribunal fédéral des principes généraux du droit, soit, entre autres, de l'art. 28 CC et de la protection des droits de la personnalité. Dans le domaine des comptes courants et procurations bancaires, l'intimée offre ses services d'une manière générale et publique, dès lors qu'elle constitue un groupe bancaire offrant des services à toute la population. Il s'agit aussi de</w:t>
      </w:r>
    </w:p>
    <w:p>
      <w:r>
        <w:t>- 17/21 -</w:t>
      </w:r>
    </w:p>
    <w:p>
      <w:r>
        <w:t>C/24884/2018 services quotidiens et accessibles au plus grand nombre, ces besoins relevant de l'usage normal. Dès lors que l'appelant entend faire usage de certains services de l'intimée à titre professionnel, ceux-ci pourraient éventuellement et en partie ne pas constituer des services répondant au besoin de toute la population, voire à un usage normal. Néanmoins, au vu de ce qui suit, cette question peut être laissée ouverte. La troisième condition posée par la jurisprudence n'est pas réalisée : l'appelant est en mesure de satisfaire ce besoin par un autre biais, puisqu'il existe plusieurs établissements bancaires en Suisse offrant des services similaires à ceux de l'intimée. Il est superflu de déterminer si l'intimée occupe une position dominante sur le marché bancaire suisse, puisqu'elle n'est qu'un établissement parmi d'autres à fournir les services bancaires auxquels l'appelant demande l'accès. L'appelant prétend qu'il n'existerait que trois autres établissements bancaires en Suisse capables de fournir les mêmes services que l'intimée. Cette allégation n'est pas établie. En toute hypothèse, cela ne semble pas conforme à la réalité, puisque les services bancaires en question ne sont pas uniquement proposés par les grandes banques. De plus, l'appelant allègue n'avoir perdu qu'un seul client en plus de cinq ans, ce qui démontre qu'il est en mesure de continuer à exercer son activité en ayant recours à d'autres établissements bancaires. Il en est allé d'ailleurs ainsi avec le mandat de curatelle qu'il évoque : le changement d'établissement bancaire n'a causé à l'appelant aucun dommage concret. Il est donc superflu d'examiner la quatrième condition, relative aux motifs pour lesquels l'intimée refuserait de contracter. Il s'ensuit qu'il n'existe aucun fondement pour obliger l'intimée à contracter avec l'appelant. Par son argumentation, l'appelant entend soutenir qu'il se trouverait dans une position particulière en vertu de son activité professionnelle. Cependant, la Cour ne discerne pas les raisons qui imposeraient de traiter différemment, en l'espèce, un professionnel de toute autre personne se prévalant de ses droits de la personnalité. Puisque les dispositions prohibant la concurrence déloyale ne sont ni invoquées, ni applicables, un traitement différent de l'appelant en tant qu'acteur du marché ne s'impose pas et ne justifie pas une extension de l'obligation de contracter en défaveur de l'intimée. Par conséquent, celle-ci est fondée à refuser de conclure quelque contrat que ce soit avec l'appelant. Le jugement attaqué sera confirmé sur ce point. 2.2.2 Reste à examiner l'atteinte à l'honneur dont se plaint l'appelant.</w:t>
      </w:r>
    </w:p>
    <w:p>
      <w:r>
        <w:t>- 18/21 -</w:t>
      </w:r>
    </w:p>
    <w:p>
      <w:r>
        <w:t>C/24884/2018 Celui-ci fait valoir que le simple fait qu'il doive communiquer à des tiers que l'intimée refuse d'entrer en relations d'affaires avec lui ou que l'intimée puisse être amenée à communiquer sur ce point serait attentatoire à l'honneur. De telles communications étant amenées à se répéter, cette répétition constituait, selon lui, un élément qui devait être pris en compte dans l'appréciation de la gravité des atteintes. Par son raisonnement, l'appelant part du principe que des tiers apprenant qu'il n'est plus en relation avec l'intimée en déduiraient nécessairement qu'il adopte ou a adopté un comportement contraire à l'honneur. Or, cela n'est pas prouvé, ni notoire. Certes, s'il n'est pas exclu que des tiers puissent imaginer que la rupture des relations contractuelles entre les parties résulte du fait que l'appelant s'est comporté de façon répréhensible à l'égard de l'intimée, il ne s'agit que d'une possibilité parmi d'autres. En effet, la rupture des relations contractuelles entre deux partenaires peut provenir de toutes sortes de causes émanant de l'un ou l'autre d'entre eux. A suivre l'appelant, chaque fois qu'une personne refuse de conclure ou de poursuivre des rapports contractuels avec une autre et qu'elle en informe des tiers directement intéressés, elle se rendrait coupable d'une atteinte à l'honneur. Une telle conception procède d'une interprétation trop extensive de la notion d'honneur et tendrait à introduire un nouveau fondement à une obligation de contracter, auquel il ne peut être souscrit, à savoir qu'un partenaire serait obligé de contracter pour ne pas commettre une atteinte à l'honneur. Il ne peut être exclu que l'appelant ou l'intimée soit amené à communiquer à des tiers que leurs relations contractuelles sont rompues. Cela étant, même sans entrer dans l'examen détaillé de la fréquence exacte de ces communications, les quelques occurrences intervenues - même à suivre les chiffres avancés par l'appelant - depuis cinq ans n'atteignent pas le seuil permettant de retenir une atteinte à l'honneur. De plus, en se limitant à partager l'information avec des personnes ciblées auxquelles il était nécessaire de la transmettre et à invoquer des raisons "commerciales", soit une explication neutre, l'intimée n'a pas outrepassé ces limites. C'est en vain que l'appelant soutient que la communication de l'intimée aurait pu être partagée par un tiers avec d'autres tiers et qu'il serait lui-même appelé à transmettre cette information à des tiers. En effet, l'intimée ne pourrait pas être tenue pour responsable de la transmission de cette information inter alios, voire par l'appelant lui-même. Enfin, le grief en lien avec la société F______ SA est difficilement compréhensible : l'on ne discerne pas en quoi l'appelant aurait qualité pour se plaindre de la rupture des relations contractuelles entre l'intimée et cette société. En tout état, cet aspect de la cause ne change rien aux considérations qui viennent d'être développées.</w:t>
      </w:r>
    </w:p>
    <w:p>
      <w:r>
        <w:t>- 19/21 -</w:t>
      </w:r>
    </w:p>
    <w:p>
      <w:r>
        <w:t>C/24884/2018 Par conséquent, le Tribunal a jugé à bon droit qu'il n'existait pas d'atteinte à l'honneur de l'appelant. Le jugement sera confirmé sur ce point également. 2.2.3 S'agissant des offres de preuves de l'appelant, celui-ci a requis l'audition de témoins en première instance, puis a accepté le dépôt de plaidoiries finales à l'issue de la procédure probatoire, sans réitérer cette offre de preuve. Dans ses plaidoiries finales, il a renoncé à l'audition de ces témoins. Il s'ensuit que l'appelant a, par sa passivité, puis sa renonciation expresse, perdu le droit d'obtenir l'audition des témoins qu'il demande dans ses écritures d'appel. En tout état de cause, les preuves que l'appelant reproche au Tribunal de n'avoir pas administrées portent sur des faits sans pertinence sur l'issue du litige. L'audition du témoin H______ était censée porter sur le volet F______ SA de la cause, dont on vient de voir qu'il ne faisait pas l'objet de griefs suffisamment motivés de l'appelant, lequel n'a de toute manière pas la qualité de se plaindre de la rupture des relations contractuelles entre F______ SA et l'intimée. Il n'en va pas différemment de l'audition des témoins I______ et J______, puisque ceux-ci pouvaient, selon l'appelant, attester du refus de l'intimée de contracter avec lui - ce qui n'est pas contesté - et du fait que ce refus a été communiqué non pas à une, mais à quatre personnes morales, qui est, ainsi qu'il l'a été vu, dénué de pertinence. Les griefs de l'appelant sont donc en toute hypothèse infondés. L'intimée a soulevé l'irrecevabilité de certains faits invoqués en lien avec ces témoignages : au vu du sort réservé aux griefs de l'appelant, il est superflu d'examiner les conclusions en irrecevabilité de l'intimée.</w:t>
      </w:r>
    </w:p>
    <w:p>
      <w:r>
        <w:rPr>
          <w:b/>
        </w:rPr>
        <w:t>E. 3</w:t>
      </w:r>
    </w:p>
    <w:p>
      <w:r>
        <w:t>Le jugement entrepris sera entièrement confirmé.</w:t>
      </w:r>
    </w:p>
    <w:p>
      <w:r>
        <w:rPr>
          <w:b/>
        </w:rPr>
        <w:t>E. 3.1</w:t>
      </w:r>
    </w:p>
    <w:p>
      <w:r>
        <w:t>et 3.2 et les autres références, non publié aux ATF 141 III 270, publié in Pra 2017 p. 285 n° 31. En revanche, lorsque l'erreur est le résultat d'un choix délibéré d'une partie représentée par un avocat, on retient qu'il n'y a pas de formalisme excessif à refuser la conversion de l'acte en raison de l'erreur grossière (arrêt du Tribunal fédéral 5A_221/2018 du 4 juin 2018 consid. 3.3.2, publié in RSPC 2018 p. 408 n° 2148). A l'inverse, la tendance est de considérer contraire à l'interdiction du formalisme excessif le refus de la conversion alors que le choix du moyen de droit recevable présente des difficultés et n'est pas facilement reconnaissable (ATF 113 Ia 84 consid. 3b; arrêt du Tribunal fédéral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5A_46/2020 du 17 novembre 2020 consid. 4.1.2).</w:t>
      </w:r>
    </w:p>
    <w:p>
      <w:r>
        <w:rPr>
          <w:b/>
        </w:rPr>
        <w:t>E. 4.1</w:t>
      </w:r>
    </w:p>
    <w:p>
      <w:r>
        <w:t>Compte tenu de l'ampleur et de la complexité des questions juridiques abordées, les frais judiciaires d'appel seront arrêtés à 2'000 fr. (art. 18 et 35 RTFMC). Les frais judiciaires seront partiellement compensés avec l'avance en 1'000 fr. fournie par l'appelant (art. 111 al. 1 CPC), qui demeure acquise à l'Etat de Genève, et mis à la charge de l'appelant, qui succombe (art. 106 al. 1 CPC). L'appelant sera condamné à verser le solde de 1'000 fr. (art. 111 al. 1 2nde phr. CPC).</w:t>
      </w:r>
    </w:p>
    <w:p>
      <w:r>
        <w:rPr>
          <w:b/>
        </w:rPr>
        <w:t>E. 4.2</w:t>
      </w:r>
    </w:p>
    <w:p>
      <w:r>
        <w:t>L'appelant sera en outre condamné à verser à l'intimée, 2'000 fr., débours et TVA compris, à titre de dépens d'appel (art. 86 et 90 RTFMC; art. 25 et 26 LaCC). * * * * *</w:t>
      </w:r>
    </w:p>
    <w:p>
      <w:r>
        <w:t>- 20/21 -</w:t>
      </w:r>
    </w:p>
    <w:p>
      <w:r>
        <w:t>C/24884/2018 PAR CES MOTIFS, La Chambre civile : A la forme : Déclare recevable l'appel interjeté le 12 avril 2021 par A______ contre le jugement JTPI/2272/2021 rendu le 22 février 2021 par le Tribunal de première instance dans la cause C/24884/2018-4. Au fond : Confirme le jugement entrepris. Déboute les parties de toutes autres conclusions. Sur les frais : Arrête les frais judiciaires d'appel à 2'000 fr., les met à la charge de A______ et les compense partiellement avec l'avance de 1'000 fr. que celui-ci a versée et qui demeure acquise à l'Etat de Genève. Condamne A______ à verser 1'000 fr. à l'Etat de Genève, soit pour lui les Services financiers du Pouvoir judiciaire, à titre de solde des frais judiciaires d'appel. Condamne A______ à verser 2'000 fr. à B______ SA à titre de dépens d'appel. Siégeant : Monsieur Ivo BUETTI, président; Madame Sylvie DROIN, Madame Nathalie RAPP, juges; Madame Sophie MARTINEZ, greffière.</w:t>
      </w:r>
    </w:p>
    <w:p>
      <w:r>
        <w:t>- 21/21 -</w:t>
      </w:r>
    </w:p>
    <w:p>
      <w:r>
        <w:t>C/24884/2018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