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ACJC/1296/2019 vom 4. September 2019</w:t>
      </w:r>
    </w:p>
    <w:p>
      <w:r>
        <w:t>GE Cour de justice, 2019-09-04, FR</w:t>
      </w:r>
    </w:p>
    <w:p>
      <w:r>
        <w:rPr>
          <w:b/>
        </w:rPr>
        <w:t xml:space="preserve">Quelle: </w:t>
      </w:r>
      <w:r>
        <w:t>https://mcp.opencaselaw.ch/entscheid/ge_gerichte_ACJC_1296_2019</w:t>
      </w:r>
    </w:p>
    <w:p>
      <w:r>
        <w:t>FR: GE_GERICHTE ACJC/1296/2019 du 4 septembre 2019</w:t>
      </w:r>
    </w:p>
    <w:p>
      <w:r>
        <w:t>IT: GE_GERICHTE ACJC/1296/2019 del 4 settembre 2019</w:t>
      </w:r>
    </w:p>
    <w:p>
      <w:pPr>
        <w:pStyle w:val="Heading2"/>
      </w:pPr>
      <w:r>
        <w:t>Erwägungen</w:t>
      </w:r>
    </w:p>
    <w:p>
      <w:r>
        <w:rPr>
          <w:b/>
        </w:rPr>
        <w:t>E. 1.1</w:t>
      </w:r>
    </w:p>
    <w:p>
      <w:r>
        <w:t>S'agissant d'une procédure de mainlevée, seule la voie du recours est ouverte (art. 319 let. b et 309 let. b ch. 3 CPC). La procédure sommaire s'applique (art. 251 let. a CPC). Déposé selon la forme et dans le délai prescrit (art. 130, 321 CPC),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2010, n° 2307). Les maximes des débats et de disposition s'appliquent (art. 55 al. 1, 255 lit. a a contrario et 58 al. 1 CPC).</w:t>
      </w:r>
    </w:p>
    <w:p>
      <w:r>
        <w:t>- 5/8 -</w:t>
      </w:r>
    </w:p>
    <w:p>
      <w:r>
        <w:t>C/19940/2018</w:t>
      </w:r>
    </w:p>
    <w:p>
      <w:r>
        <w:rPr>
          <w:b/>
        </w:rPr>
        <w:t>E. 2</w:t>
      </w:r>
    </w:p>
    <w:p>
      <w:r>
        <w:t>Les conclusions, les allégations de faits et les preuves nouvelles sont irrecevables (art. 326 al. 1 CPC).</w:t>
      </w:r>
    </w:p>
    <w:p>
      <w:r>
        <w:t>Les pièces nouvelles produites par l'intimé sont irrecevables. Elles ne sont en tout état pas utiles à la solution du litige.</w:t>
      </w:r>
    </w:p>
    <w:p>
      <w:r>
        <w:t>L'intimé a admis dans sa réplique que le montant dû en capital et devant porter intérêts (dont la date de départ est seule litigieuse) était de 66'906 fr. 50, et non de 76'951 fr. 75. Il ne s'agit pas d'une conclusion nouvelle comme le soutient l'appelante. Elle est partant recevable.</w:t>
      </w:r>
    </w:p>
    <w:p>
      <w:r>
        <w:rPr>
          <w:b/>
        </w:rPr>
        <w:t>E. 3</w:t>
      </w:r>
    </w:p>
    <w:p>
      <w:r>
        <w:t>La recourante reconnait devoir la somme de 66'906 fr. 50 à l'intimé, lequel admet que c'est ce montant en capital qui doit porter intérêts. La seule question qui demeure litigieuse est donc celle du point de départ des intérêts moratoires dus sur cette somme. La recourante soutient que c'est le moment de l'entrée en force de la décision du 7 octobre 2014 (soit le 13 octobre 2017, à l'issue de la procédure de recours) et l'intimé celle de l'exigibilité de ce montant (soit le 6 novembre 2014, comme mentionné sur la facture du 6 octobre 2014). 3.1.1 L'impôt est exigible dès la notification de la décision de taxation et il doit être versé dans un délai de 30 jours (art. 29 al. 1 de la loi sur les droits de mutations - LDM - valaisanne). Pour les impôts non payés dans le délai, il est dû, dès l'échéance, un intérêt moratoire. Une sommation est adressée au contribuable à l'expiration du délai de paiement. Le taux de l'intérêt moratoire correspond à celui fixé par le Conseil d'Etat pour l'impôt cantonal (art. 30 LDM). En cas de non-paiement dans le délai de trente jours, un intérêt moratoire de cinq pour cent est dû dès l'échéance de ce délai (art. 4 de l'ordonnance concernant les procédures d'encaissement et de recouvrement - 611.104 RS valaisan). Selon l'art. 51 al. 1 de la loi sur la procédure et la juridiction administratives valaisannes (LPJA), le recours a effet suspensif. 3.1.2 Comme pour les décisions civiles ou pénales, pour des motifs d'économie de procédure, la mainlevée doit être accordée pour l'intérêt moratoire de la créance reconnue dans la décision exécutoire même s'il n'est pas expressément alloué par celle-ci. Certaines lois prévoient que l'intérêt moratoire est dû à compter d'un terme fixe ou dans un délai déterminé, sans interpellation; à défaut d'une telle disposition, les intérêts courent dès la mise en demeure (dont la notification doit être prouvée par le créancier si le débiteur la conteste); à défaut d'interpellation antérieure, l'intérêt court dès la notification du commandement de payer (qui vaut mise en demeure) (ABBET/VEUILLET, La mainlevée de l'opposition, 2017, n. 139 ad art. 80 LP; TANQUEREL, Manuel de droit administratif, 2ème éd., 2015, n. 713).</w:t>
      </w:r>
    </w:p>
    <w:p>
      <w:r>
        <w:t>- 6/8 -</w:t>
      </w:r>
    </w:p>
    <w:p>
      <w:r>
        <w:t>C/19940/2018 3.1.3 Pour les obligations pécuniaires, la survenance de l'exigibilité implique en principe qu'un intérêt moratoire est dû pour tout retard dans le paiement. Admettre que l'exigibilité soit repoussée par un recours ayant effet suspensif reviendrait à instaurer une prime au recours sous forme de crédit gratuit de l'Etat en faveur de l'administré qui recourt. Il y a donc lieu d'admettre, dans ce cas, que l'exigibilité de la créance de l'Etat n'est en rien affectée par l'existence d'un recours ayant effet suspensif (TANQUEREL, op. cit., n. 1168). La doctrine majoritaire est d'avis que l'effet suspensif d'un moyen de droit ordinaire emporte uniquement l'exclusion du caractère exécutoire de la créance et non son exigibilité, de sorte que des intérêts sont dus dès ce moment-là (WEISSENBERGER/HIRZEL; Brennpunkte im Verwaltungsprozess, 2013, p. 79; BAUMBERGER, Aufschiebene Wirkung bundesrechtlicher Rechtsmittel im öffentlichen Recht, 2006, p. 101; HÄNER, Vorsorgliche Massnahmen im Verwaltungsverfahren und im Verwaltungsprozess, RDS 1997 II p. 384, n. 179; GYGI, Bundesverwaltungsrechtspflege, Berne 1979, p. 167). Dans un arrêt rendu en matière d'AVS, le Tribunal fédéral a jugé que le dépôt d'un recours [avec effet suspensif] contre une décision de cotisations ne différait pas le moment où les intérêts commençaient à courir ni n'interrompait le cours de ceux-ci (ATF 109 V 1 consid. 4a). Citant la doctrine susmentionnée, le Tribunal cantonal de Bâle-campagne a jugé, en matière d'impôt, que l'effet suspensif ne concernait que le caractère exécutoire d'une décision. Il cessait avec effet ex tunc au moment où la décision était rendue, de sorte que des intérêts étaient dus dès l'exigibilité de la créance, et non dès l'entrée en force de la décision sur recours (arrêt du Tribunal cantonal de Bâle- campagne du 7 septembre 2016, 810 15 335).</w:t>
      </w:r>
    </w:p>
    <w:p>
      <w:r>
        <w:rPr>
          <w:b/>
        </w:rPr>
        <w:t>E. 3.2</w:t>
      </w:r>
    </w:p>
    <w:p>
      <w:r>
        <w:t>En l'espèce, au vu des considérations qui précèdent, il faut considérer avec l'intimé que l'effet suspensif attaché au recours formé par la recourante contre la décision du 6 octobre 2014 n'a pas eu d'incidence sur l'exigibilité de celle-ci, de sorte qu'un intérêt moratoire de 5%, tel que prévu par la loi sans qu'une mise en demeure ne soit nécessaire, est dû dès ce moment-là, soit le 6 novembre 2014. La cause étant en état d'être jugée (art. 327 al. 3 let. b CPC), la mainlevée de l'opposition formée au commandement de payer, poursuite n° 1______ sera en conséquence prononcée à concurrence de 66'906 fr. 50 avec intérêts à 5% dès le</w:t>
      </w:r>
    </w:p>
    <w:p>
      <w:r>
        <w:rPr>
          <w:b/>
        </w:rPr>
        <w:t>E. 6</w:t>
      </w:r>
    </w:p>
    <w:p>
      <w:r>
        <w:t>novembre 2014, plus frais de sommation de 60 fr. Sur les frais : Arrête les frais judiciaires de première et seconde instance à 1'100 fr., les met à la charge du CANTON DU VALAIS, soit pour lui l'Office cantonal du contentieux financier, à hauteur de 500 fr. et à charge de A______ SA à hauteur de 600 fr. et dit qu'ils sont compensés avec les avances fournies, acquises à l'Etat de Genève. Dit que chaque partie supporte ses propres dépens de première et seconde instance.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