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ACJC/1293/2022 vom 4. Oktober 2022</w:t>
      </w:r>
    </w:p>
    <w:p>
      <w:r>
        <w:t>GE Cour de justice, 2022-10-04, FR</w:t>
      </w:r>
    </w:p>
    <w:p>
      <w:r>
        <w:rPr>
          <w:b/>
        </w:rPr>
        <w:t xml:space="preserve">Quelle: </w:t>
      </w:r>
      <w:r>
        <w:t>https://mcp.opencaselaw.ch/entscheid/ge_gerichte_ACJC_1293_2022</w:t>
      </w:r>
    </w:p>
    <w:p>
      <w:r>
        <w:t>FR: GE_GERICHTE ACJC/1293/2022 du 4 octobre 2022</w:t>
      </w:r>
    </w:p>
    <w:p>
      <w:r>
        <w:t>IT: GE_GERICHTE ACJC/1293/2022 del 4 ottobre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 1.3.1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1.3.2 Dans la présente affaire, le Tribunal a, à l'issue de l'audience du 18 mars 2022, prononcé la mainlevée définitive de l'opposition formée au commandement de payer. Il a, ensuite, transmis à l'intimé copie du courrier déposé le 18 mars 2022 par la recourante et lui a fixé un délai pour se déterminer. Il a, de plus, fait de même avec les déterminations de l'intimé du 11 avril 2022 et les observations de la recourante du 3 mai 2022, pour garder la cause à juger et rendre son jugement le 13 mai 2022. Le Tribunal ne pouvait donc pas prononcer à l'audience la mainlevée, alors qu'il a ensuite donné l'occasion aux parties de se prononcer sur les pièces transmises par la recourante. Cela étant, la Cour dispose d'un plein pouvoir d'examen et les parties ont eu l'occasion de se déterminer tant en première instance que dans la présente procédure de recours. La mention au procès-verbal du prononcé de la mainlevée définitive est dès lors sans portée.</w:t>
      </w:r>
    </w:p>
    <w:p>
      <w:r>
        <w:t>- 5/9 -</w:t>
      </w:r>
    </w:p>
    <w:p>
      <w:r>
        <w:t>C/22727/2021 1.3.3 Le recours étant instruit en procédure sommaire, la preuve des faits allégués doit être apportée par titres (art. 254 CPC). Les maximes des débats et de disposition s'appliquent (art. 55 al. 1, 255 a contrario et art. 58 al. 1 CPC).</w:t>
      </w:r>
    </w:p>
    <w:p>
      <w:r>
        <w:rPr>
          <w:b/>
        </w:rPr>
        <w:t>E. 1.4</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1.5</w:t>
      </w:r>
    </w:p>
    <w:p>
      <w:r>
        <w:t>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w:t>
      </w:r>
    </w:p>
    <w:p>
      <w:r>
        <w:rPr>
          <w:b/>
        </w:rPr>
        <w:t>E. 2</w:t>
      </w:r>
    </w:p>
    <w:p>
      <w:r>
        <w:t>La recourante reproche au Tribunal d'avoir prononcé la mainlevée définitive de l'opposition formée au commandement de payer. 2.1.1 Le créancier qui est au bénéfice d'un jugement exécutoire peut requérir du juge la mainlevée définitive de l'opposition (art. 80 al. 1 LP). Le juge de la mainlevée doit examiner d'office l'existence d'un titre à la mainlevée définitive dans la poursuite pendante, notamment le caractère exécutoire de la décision invoquée (GILLIERON, Commentaire de la loi fédérale sur la poursuite pour dettes et la faillite, Lausanne, 1999, no 22 ad art. 80 LP). 2.1.2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w:t>
      </w:r>
    </w:p>
    <w:p>
      <w:r>
        <w:t>- 6/9 -</w:t>
      </w:r>
    </w:p>
    <w:p>
      <w:r>
        <w:t>C/22727/2021 de rendre vraisemblable sa libération (totale ou partielle) - contrairement à ce qui est le cas pour la mainlevée provisoire (art. 82 al. 2 LP; ATF 120 Ia 82 consid. 6c) -, mais doit en apporter la preuve stricte (ATF 136 III 624 consid. 4.2.1 et les références). 2.1.3 Lorsque l'employé poursuit l'employeur sur la base d'un jugement condamnant le second à payer au premier un salaire brut, l'employeur poursuivi peut se prévaloir du paiement en établissant par titre avoir déjà payé les contributions sociales aux institutions concernées. A défaut, il n'appartient pas au juge de la mainlevée de procéder au calcul des déductions sociales et la mainlevée doit être prononcée pour le salaire brut, à tout le moins lorsque le montant net ne peut être aisément établi sur la base des motifs du jugement (ABBET/VEUILLET, La mainlevée de l'opposition, n. 33 ad art. 80 LP). 2.1.4 Il est erroné de compenser deux sommes qui ne sont pas exprimées dans la même unité de grandeur, l'une nette et l'autre brute (arrêt du Tribunal fédéral 5P.364/2002 du 16 décembre 2002 consid. 2.2).</w:t>
      </w:r>
    </w:p>
    <w:p>
      <w:r>
        <w:rPr>
          <w:b/>
        </w:rPr>
        <w:t>E. 2.2</w:t>
      </w:r>
    </w:p>
    <w:p>
      <w:r>
        <w:t>En l'espèce, il n'est pas contesté que le jugement dont se prévaut l'intimé constitue un titre de mainlevée définitive de l'opposition et qu'il est exécutoire. La recourante reproche au Tribunal d'avoir, à tort, retenu le montant tel que calculé par l'intimé, soit une somme brute sous déduction d'une somme nette, et d'avoir considéré qu'elle n'avait pas établi par titre avoir payé les contributions sociales et l'impôt à la source. Ces griefs sont fondés. En effet, l'intimé a requis le paiement de la somme de 8'189 fr. 40, avec intérêts à 5% l'an dès le 7 avril 2017, soit le montant brut résultant de l'arrêt de la Cour, sous déduction du montant net de 6'333 fr. 15. La recourante a démontré par titre avoir réglé l'intégralité des montants dus, soit 4'597 fr. 65 auprès de l'Office, 5'657 fr. 15 à la Caisse de compensation C______ et 3'269 fr. 05 d'impôt à la source, représentant au total 13'523 fr. 85, somme incluant 983 fr. 15 d'intérêts moratoires.</w:t>
      </w:r>
    </w:p>
    <w:p>
      <w:r>
        <w:rPr>
          <w:b/>
        </w:rPr>
        <w:t>E. 2.3</w:t>
      </w:r>
    </w:p>
    <w:p>
      <w:r>
        <w:t>Le recours sera en conséquence admis et la requête de mainlevée définitive formée par l'intimé rejetée. Le chiffre 1 du dispositif du jugement entrepris sera ainsi annulé.</w:t>
      </w:r>
    </w:p>
    <w:p>
      <w:r>
        <w:rPr>
          <w:b/>
        </w:rPr>
        <w:t>E. 3.1</w:t>
      </w:r>
    </w:p>
    <w:p>
      <w:r>
        <w:t>Lorsque l'autorité de recours statue à nouveau, elle se prononce sur les frais de première instance (art. 318 al. 3 CPC applicable par analogie; JEANDIN Commentaire romand CPC, 2019, 2ème éd., n. 9 ad art. 327 CPC). En l'espèce, la quotité de l'émolument fixée par le premier juge à 300 fr., conforme aux prescriptions de l'art. 48 OELP et non remise en cause par les parties, sera maintenue.</w:t>
      </w:r>
    </w:p>
    <w:p>
      <w:r>
        <w:t>- 7/9 -</w:t>
      </w:r>
    </w:p>
    <w:p>
      <w:r>
        <w:t>C/22727/2021 Dans la mesure où la recourante n'a réglé les montants dus qu'après le dépôt de la requête de mainlevée, les frais de première instance seront laissés à sa charge. Les chiffres 2 à 4 du dispositif du jugement querellé seront en conséquence confirmés.</w:t>
      </w:r>
    </w:p>
    <w:p>
      <w:r>
        <w:rPr>
          <w:b/>
        </w:rPr>
        <w:t>E. 3.2</w:t>
      </w:r>
    </w:p>
    <w:p>
      <w:r>
        <w:t>Les frais judiciaires du recours, y compris la décision sur effet suspensif, seront arrêtés à 300 fr. (art. 48 et 61 OELP) et compensés avec l'avance de frais de 300 fr. versée par la recourante, acquise à l'Etat de Genève (art. 111 al. 1 CPC). Ces frais seront mis à la charge de l'intimé, qui succombe (art. 106 al. 1 CPC). Il sera en conséquence condamné à verser 300 fr. à la recourante. Il sera en outre condamné à verser à la recourante la somme de 500 fr. à titre de dépens de recours, débours et TVA compris (art. 1 let. c, art. 96 et 105 al. 2 CPC; art. 85, 89 et 90 RTFMC; art. 20 al. 4, 25 et 26 LaCC). * * * * *</w:t>
      </w:r>
    </w:p>
    <w:p>
      <w:r>
        <w:t>- 8/9 -</w:t>
      </w:r>
    </w:p>
    <w:p>
      <w:r>
        <w:t>C/22727/2021</w:t>
      </w:r>
    </w:p>
    <w:p>
      <w:r>
        <w:t>PAR CES MOTIFS, La Chambre civile :</w:t>
      </w:r>
    </w:p>
    <w:p>
      <w:r>
        <w:t>A la forme : Déclare recevable le recours interjeté le 27 mai 2022 par A______ SA contre le jugement JTPI/5829/2022 rendu le 13 mai 2022 par le Tribunal de première instance dans la cause C/22727/2021–20 SML. Au fond : Annule le chiffre 1 du dispositif de ce jugement. Cela fait et statuant à nouveau sur ce point : Déboute B______ des fins de sa requête de mainlevée définitive formée le 18 novembre 2021. Confirme le jugement pour le surplus. Déboute les parties de toutes autres conclusions. Sur les frais : Arrête les frais judiciaires du recours à 300 fr., compensés à due concurrence avec l'avance de frais fournie, acquise à l'Etat de Genève, et les met à la charge de B______. Condamne B______ à verser 300 fr. à A______ SA. Condamne B______ à verser à A______ SA 500 fr. à titre de dépens de recours. Siégeant : Madame Pauline ERARD, présidente; Madame Nathalie LANDRY-BARTHE, Monsieur Cédric-Laurent MICHEL, juges; Madame Marie-Pierre GROSJEAN, greffière.</w:t>
      </w:r>
    </w:p>
    <w:p>
      <w:r>
        <w:t>La présidente : Pauline ERARD</w:t>
      </w:r>
    </w:p>
    <w:p>
      <w:r>
        <w:t>La greffière : Marie-Pierre GROSJEAN</w:t>
      </w:r>
    </w:p>
    <w:p>
      <w:r>
        <w:t>- 9/9 -</w:t>
      </w:r>
    </w:p>
    <w:p>
      <w:r>
        <w:t>C/22727/2021</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