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ACJC/1293/2017 vom 16. Oktober 2017</w:t>
      </w:r>
    </w:p>
    <w:p>
      <w:r>
        <w:t>GE Cour de justice, 2017-10-16, FR</w:t>
      </w:r>
    </w:p>
    <w:p>
      <w:r>
        <w:rPr>
          <w:b/>
        </w:rPr>
        <w:t xml:space="preserve">Quelle: </w:t>
      </w:r>
      <w:r>
        <w:t>https://mcp.opencaselaw.ch/entscheid/ge_gerichte_ACJC_1293_2017</w:t>
      </w:r>
    </w:p>
    <w:p>
      <w:r>
        <w:t>FR: GE_GERICHTE ACJC/1293/2017 du 16 octobre 2017</w:t>
      </w:r>
    </w:p>
    <w:p>
      <w:r>
        <w:t>IT: GE_GERICHTE ACJC/1293/2017 del 16 ottobre 2017</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le montant capitalisé est supérieur à 10'000 fr. (art. 92 al. 2 et 308 al. 2 CPC), l'appel est recevable.</w:t>
      </w:r>
    </w:p>
    <w:p>
      <w:r>
        <w:rPr>
          <w:b/>
        </w:rPr>
        <w:t>E. 1.2</w:t>
      </w:r>
    </w:p>
    <w:p>
      <w:r>
        <w:t>Avec raison, les parties, qui sont toutes deux domiciliées à Genève, ne remettent en cause ni la compétence des juridictions genevoises pour connaître du litige (art. 46 LDIP) ni l'application du droit suisse (art. 48, 49 al. 1 LDIP et art. 4 de la Convention de la Haye du 2 octobre 1973 sur la loi applicable aux obligations alimentaires).</w:t>
      </w:r>
    </w:p>
    <w:p>
      <w:r>
        <w:t>- 5/12 -</w:t>
      </w:r>
    </w:p>
    <w:p>
      <w:r>
        <w:t>C/19218/2016</w:t>
      </w:r>
    </w:p>
    <w:p>
      <w:r>
        <w:rPr>
          <w:b/>
        </w:rPr>
        <w:t>E. 2</w:t>
      </w:r>
    </w:p>
    <w:p>
      <w:r>
        <w:t>La Chambre de céans revoit la cause avec un plein pouvoir d'examen (art. 310 CPC). Les mesures protectrices de l'union conjugale sont ordonnées à la suite d'une procédure sommaire (art. 248 let. d, 271 let. a et 276 al. 1 CPC) avec administration restreinte des moyens de preuve, limitation du degré de la preuve à la simple vraisemblance et à un examen sommaire du droit, l'exigence de célérité étant privilégiée par rapport à celle de sécurité (ATF 127 III 474 consid. 2b/bb; arrêts du Tribunal fédéral 5A_792/2016 du 23 janvier 2017 consid. 4.1; 5A_154/2016 du 19 mai 2016 consid. 3). Dans la mesure où seuls sont litigieux le principe et la quotité de la contribution à l'entretien de l'épouse, la présente procédure est soumise aux maximes inquisitoire simple (art. 272 CPC) et de disposition (art. 58 al. 1 CPC).</w:t>
      </w:r>
    </w:p>
    <w:p>
      <w:r>
        <w:rPr>
          <w:b/>
        </w:rPr>
        <w:t>E. 3</w:t>
      </w:r>
    </w:p>
    <w:p>
      <w:r>
        <w:t>Les parties ont produit des pièces nouvelles à l'appui de leurs écritures de seconde instance.</w:t>
      </w:r>
    </w:p>
    <w:p>
      <w:r>
        <w:rPr>
          <w:b/>
        </w:rPr>
        <w:t>E. 3.1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 Des pseudo nova peuvent encore être pris en considération en appel lorsqu'un thème y est abordé pour la première fois, parce qu'en première instance aucun motif n'existait d'alléguer déjà ces faits ou moyens de preuves connus, seul le jugement attaqué donnant lieu à de tels allégués par exemple (arrêts du Tribunal fédéral 4A_540/2014 du 18 mars 2015 consid. 3; 4A_305/2012 du 6 février 2013 consid. 3).</w:t>
      </w:r>
    </w:p>
    <w:p>
      <w:r>
        <w:rPr>
          <w:b/>
        </w:rPr>
        <w:t>E. 3.2</w:t>
      </w:r>
    </w:p>
    <w:p>
      <w:r>
        <w:t>En l'espèce, le relevé de salaire de l'appelant pour le mois de janvier 2017 qui a été édité le 7 février 2017, est irrecevable dès lors qu'il est antérieur au 6 mars 2017, date à laquelle le premier juge a gardé la cause à juger et que l'appelant n'explique pas pourquoi ce document ne pouvait pas être produit devant le Tribunal.</w:t>
      </w:r>
    </w:p>
    <w:p>
      <w:r>
        <w:t>- 6/12 -</w:t>
      </w:r>
    </w:p>
    <w:p>
      <w:r>
        <w:t>C/19218/2016 Il en va de même de la pièce produite par l'intimée, dès lors qu'elle aurait pu être établie antérieurement, étant relevé que l'appelant avait d'ores et déjà plaidé que l'intimée pourrait travailler à 100% dans son mémoire de réponse 16 décembre 2016, si bien que la pièce nouvelle ne répond pas à un argument nouveau. En revanche, les relevés de salaire de l'appelant pour les mois de février et mars 2017 sont recevables, ces documents ayant été établis postérieurement à la mise en délibération de la cause devant le premier juge.</w:t>
      </w:r>
    </w:p>
    <w:p>
      <w:r>
        <w:rPr>
          <w:b/>
        </w:rPr>
        <w:t>E. 4</w:t>
      </w:r>
    </w:p>
    <w:p>
      <w:r>
        <w:t>L'appel porte exclusivement sur la question de la contribution à l'entretien de l'intimée. Les parties ne critiquent pas la méthode du minimum vital élargi appliquée par le Tribunal pour parvenir au résultat contesté, mais uniquement les bases de son calcul.</w:t>
      </w:r>
    </w:p>
    <w:p>
      <w:r>
        <w:rPr>
          <w:b/>
        </w:rPr>
        <w:t>E. 4.1</w:t>
      </w:r>
    </w:p>
    <w:p>
      <w:r>
        <w:t>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l'art. 163 CC demeurant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du Tribunal fédéral 5A_828/2014 du 25 mars 2015 consid. 3). Quand il n'est pas possible de conserver ce niveau de vie, les époux ont droit à un train de vie semblable (ATF 119 II 314 consid. 4b/aa; arrêts du Tribunal fédéral 5A_904/2015 du 29 septembre 2016 consid. 5.1; 5A_776/2015 du 4 février 2016 consid. 3; 5A_823/2014 du 3 février 2015 consid. 5.1 et la référence). Le juge peut donc devoir modifier la convention conclue pour la vie commune, afin de l'adapter à ces faits nouveaux (arrêts du Tribunal fédéral 5A_236/2011 du 18 octobre 2011 consid. 4.2.3; sur le tout : arrêts du Tribunal fédéral 5A_301/2011 du 1er décembre 2011 consid. 5.1; 5A_228/2012 du 11 juin 2012 consid. 4.3). L'obligation d'entretien trouve sa limite dans la capacité contributive du débirentier, en ce sens que son minimum vital selon le droit des poursuites doit en principe être préservé (ATF 140 III 337 consid. 4.3 et les arrêts cités; arrêt du Tribunal fédéral 5A_876/2014 du 3 juin 2015 consid. 3.4).</w:t>
      </w:r>
    </w:p>
    <w:p>
      <w:r>
        <w:t>- 7/12 -</w:t>
      </w:r>
    </w:p>
    <w:p>
      <w:r>
        <w:t>C/19218/2016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et des cotisations d'assurance-maladie. En cas de situation économique favorable, il est admissible de tenir compte d'autres dépenses effectives, non strictement nécessaires, soit d'un minimum vital élargi (ATF 140 III 337 consid. 4.2.3; arrêt du Tribunal fédéral 5A_329/2016 du 6 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et les notes de bas de page).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Le train de vie mené jusqu'à la cessation de la vie commune constitue la limite supérieure du droit à l'entretien (ATF 121 I 97 consid. 3b; 118 II 376 consid. 20b; arrêt du Tribunal fédéral 5A_776/2012 du 13 mars 2013 consid. 6.3.1). Il ne faut pas, par le biais de la contribution d'entretien, provoquer un déplacement de patrimoine qui anticiperait sur la liquidation du régime matrimonial (ATF 114 II 26 consid. 8). Les contributions d'entretien versées à un ex-conjoint, si elles sont fixées par une convention d'entretien homologuée ou par un jugement et sont effectivement payées, ont en principe priorité sur la contribution pour le conjoint (BASTONS BULLETTI, op. cit., p. 86). 4.2.1 En l'espèce, dès lors qu'il a tenu compte des frais de véhicule de l'appelant dans ses charges admissibles, c'est à juste titre que le premier juge a inclus dans le revenu de celui-ci l'indemnité qu'il perçoit pour l'usage de sa voiture privée à titre</w:t>
      </w:r>
    </w:p>
    <w:p>
      <w:r>
        <w:t>- 8/12 -</w:t>
      </w:r>
    </w:p>
    <w:p>
      <w:r>
        <w:t>C/19218/2016 professionnel puisque cette somme a justement pour but de participer à l'entretien de son véhicule privé. Le montant de 0 fr. 50 à 0 fr. 70 par kilomètre parcouru qui lui est versé ne concerne vraisemblablement qu'une indemnisation pour l'usage de son véhicule et non les frais d'essence qui sont, a priori, compris dans les autres frais qui lui sont remboursés. En revanche, ces derniers frais ne doivent pas être pris en compte. Comme les montants remboursés à ce titre à l'appelant varient de mois en mois et qu'il ne s'agit pas d'une somme forfaitaire, il est hautement vraisemblable qu'il s'agit du remboursement des frais effectifs de l'appelant. Il ne s'agit donc pas d'un revenu. Les revenus de l'appelant étaient ainsi de 10'115 fr. 10 (9'988 fr. 40 + 126 fr. 70) en septembre 2017, de 10'169 fr. 70 (9'988 fr. 40 + 181 fr. 30) en octobre 2017, de 10'192 fr. (9'808 fr. + 387 fr.) en février 2017 et de 10'123 fr. (9'808 fr. + 315 fr.) en mars 2017, ce qui représente un revenu mensuel net moyen de 10'150 fr. 4.2.2 Il a été rendu hautement vraisemblable que l'appelant s'acquitte de la contribution d'entretien due à son ex-épouse à laquelle il a été condamné par une autorité judiciaire. Dès lors que cette contribution est effectivement versée et que du temps de la vie commune les parties ne disposaient pas de cette somme pour subvenir à leur entretien, il doit en être tenu compte dans les charges de l'appelant. Par ailleurs, l'appelant s'est acquitté de frais leasing de 1'017 fr. 05 par mois jusqu'à la fin avril 2017 de sorte que cette dépense doit être prise en compte, comme pour l'intimée. Les autres charges de l'appelant retenues par le Tribunal n'étant pas contestées en appel, les charges admissibles de celui-ci jusqu'au 30 avril 2017 étaient de 9'148 fr. 70 (5'631 fr. 65 de charges admises par le Tribunal + 2'500 fr. de contribution d'entretien à son ex-épouse + 1'017 fr. 05 de leasing) et sont de 8'131 fr. 65 depuis le 1er mai 2017, le leasing ayant vraisemblablement été intégralement remboursé. 4.2.3 Il n'a pas été allégué que l'intimée aurait travaillé à 100% du temps de la vie commune et qu'elle aurait unilatéralement décidé de réduire son temps de travail à 90% sans le consentement de son époux. Dès lors que le standard de vie antérieur des parties doit être maintenu si leur situation financière le permet, et que tel est le cas en l'espèce au vu de leurs revenus confortables, il n'y a pas lieu, sur mesures protectrices de l'union conjugale, de contraindre l'intimée à augmenter son temps de travail. Seul son revenu effectif, de 6'956 fr. 04 net, doit donc être pris en compte. 4.2.4 Pour les mêmes raisons, c'est à bon droit que le premier juge a tenu compte des frais de voiture dans le minimum vital élargi des parties, dès lors qu'il n'est pas contesté que l'intimée a toujours utilisé son véhicule pour se rendre à son</w:t>
      </w:r>
    </w:p>
    <w:p>
      <w:r>
        <w:t>- 9/12 -</w:t>
      </w:r>
    </w:p>
    <w:p>
      <w:r>
        <w:t>C/19218/2016 travail du temps de la vie commune. En revanche, les frais de repas allégués n'ont pas été rendus vraisemblables. C'est à juste titre que l'appelant reproche au Tribunal d'avoir fixé les intérêts hypothécaires relatif au domicile conjugal à 2'000 fr., alors qu'il est expressément établi, et admis par l'intimée, que ceux-ci s'élèvent à 1'378 fr. 90 par mois. De même, au vu du seul relevé fourni, les frais de copropriété s'élèvent mensuellement à 378 fr. 85 (4'546 fr. 20 : 12) et les frais de chauffage à 57 fr. 50 (689 fr. 90 : 12). Les autres charges de l'intimée retenues par le Tribunal n'étant pas contestées en appel, les charges admissibles de celle-ci s'élèvent à 6'331 fr. 65 comprenant les intérêts hypothécaires du domicile conjugal (1'378 fr. 90), les charges de copropriété, chauffage compris (436 fr. 35), les charges d'eau/gaz/électricité (100 fr.), les primes d'assurance-maladie (722 fr. 65), les frais de leasing (434 fr. 60), les impôts du véhicule (27 fr. 90), la prime d'assurance du véhicule (114 fr. 15), les frais d'essence (156 fr.), les acomptes d'impôts (1'500 fr.), les frais médicaux non remboursés (139 fr. 80), les primes d'assurance ménage (27 fr. 10) et responsabilité civile (94 fr. 20) et l'entretien de base selon les normes OP (1'200 fr.).</w:t>
      </w:r>
    </w:p>
    <w:p>
      <w:r>
        <w:rPr>
          <w:b/>
        </w:rPr>
        <w:t>E. 4.3</w:t>
      </w:r>
    </w:p>
    <w:p>
      <w:r>
        <w:t>Il s'ensuit qu'en vertu de la méthode du minimum vital élargi avec répartition de l'excédent, la contribution de l'appelant à l'entretien de son épouse sera fixée au montant arrondi de 200 fr. (6'331 fr. 65 + [(10'150 fr. + 6'956 fr. 04) - (9'148 fr. 70 + 6'331 fr. 65)] / 2 - 6'956 fr. 04) jusqu'au 30 avril 2017 et au montant arrondi de 700 fr. (6'331 fr. 65 + [(10'150 fr. + 6'956 fr. 04) - (8'131 fr. 65 + 6'331 fr. 65)] / 2 - 6'956 fr. 04) dès le 1er mai 2017. Le versement de telles contributions d'entretien n'aura pas pour conséquence de permettre à l'intimée un train de vie supérieur à celui qui prévalait du temps de la vie commune, dès lors que dans les charges de cette dernière il n'a été tenu compte que de ses dépenses courantes. Le montant supplémentaire à sa disposition lui permettra donc de couvrir ses frais de loisirs et de vacances. Pour le surplus, le dies a quo fixé par le premier juge au 3 octobre 2016 n'étant pas contesté, il sera confirmé. L'appelant n'ayant ni allégué, ni démontré avoir contribué à l'entretien de son épouse depuis la date précitée, il n'y a pas lieu de déduire de montant à ce titre. Le chiffre 3 du dispositif du jugement querellé sera modifié dans le sens de ce qui précède.</w:t>
      </w:r>
    </w:p>
    <w:p>
      <w:r>
        <w:rPr>
          <w:b/>
        </w:rPr>
        <w:t>E. 5.1</w:t>
      </w:r>
    </w:p>
    <w:p>
      <w:r>
        <w:t>Si l'instance d'appel statue à nouveau, elle se prononce sur les frais de la première instance (art. 318 al. 3 CPC).</w:t>
      </w:r>
    </w:p>
    <w:p>
      <w:r>
        <w:t>- 10/12 -</w:t>
      </w:r>
    </w:p>
    <w:p>
      <w:r>
        <w:t>C/19218/2016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5.2</w:t>
      </w:r>
    </w:p>
    <w:p>
      <w:r>
        <w:t>Les frais judiciaires d'appel seront fixés à 800 fr. (art. 31 et 37 RTFMC) et mis à la charge des parties pour moitié chacune, compte tenu de la nature familiale et de l'issue du litige (art. 95 et 107 al. 1 let. c CPC). Ils seront compensés avec l'avance de frais de 800 fr. fournie par l'appelant, qui reste acquise à l'Etat (art. 111 al. 1 CPC), l'intimée étant condamnée à verser 400 fr. à l'appelant (art. 111 al. 2 CPC). Compte tenu de la nature familiale du litige, chaque partie supportera ses propres dépens d'appel (art. 107 al. 1 let. c CPC).</w:t>
      </w:r>
    </w:p>
    <w:p>
      <w:r>
        <w:rPr>
          <w:b/>
        </w:rPr>
        <w:t>E. 6</w:t>
      </w:r>
    </w:p>
    <w:p>
      <w:r>
        <w:t>L'arrêt de la Cour, statuant sur mesures protectrices de l'union conjugale, est sus- ceptible d'un recours en matière civile, les moyens étant limités en application de l'art. 98 LTF. La valeur litigieuse est supérieure à 30'000 fr. (art. 51 al. 4 LTF). * * * * * *</w:t>
      </w:r>
    </w:p>
    <w:p>
      <w:r>
        <w:t>- 11/12 -</w:t>
      </w:r>
    </w:p>
    <w:p>
      <w:r>
        <w:t>C/19218/2016 PAR CES MOTIFS, La Chambre civile : A la forme : Déclare recevable l'appel interjeté le 19 mai 2017 par A______ contre le chiffre 3 du dispositif du jugement JTPI/5876/2017 rendu le 5 mai 2017 par le Tribunal de première instance dans la cause C/19218/2016-30. Au fond : Annule le chiffre 3 du dispositif du jugement attaqué et, statuant à nouveau sur ce point : Condamne A______ à verser en mains de B______, à titre de contribution à son entretien, par mois et d'avance, les sommes de 200 fr. du 3 octobre 2016 au 30 avril 2017 et de 700 fr. dès le 1er mai 2017. Confirme le jugement attaqué pour le surplus. Déboute les parties de toutes autres conclusions. Sur les frais : Arrête les frais judiciaires d'appel à 800 fr., les met à la charge des parties à concurrence de la moitié chacune et les compense avec l'avance de 800 fr. fournie par A______, qui demeure acquise à l'État de Genève. Condamne B______ à verser à A______ la somme de 400 fr. à titre de frais judiciaires d'appel.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- 12/12 -</w:t>
      </w:r>
    </w:p>
    <w:p>
      <w:r>
        <w:t>C/19218/2016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