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ACJC/1292/2023 vom 3. Oktober 2023</w:t>
      </w:r>
    </w:p>
    <w:p>
      <w:r>
        <w:t>GE Cour de justice, 2023-10-03, FR</w:t>
      </w:r>
    </w:p>
    <w:p>
      <w:r>
        <w:rPr>
          <w:b/>
        </w:rPr>
        <w:t xml:space="preserve">Quelle: </w:t>
      </w:r>
      <w:r>
        <w:t>https://mcp.opencaselaw.ch/entscheid/ge_gerichte_ACJC_1292_2023</w:t>
      </w:r>
    </w:p>
    <w:p>
      <w:r>
        <w:t>FR: GE_GERICHTE ACJC/1292/2023 du 3 octobre 2023</w:t>
      </w:r>
    </w:p>
    <w:p>
      <w:r>
        <w:t>IT: GE_GERICHTE ACJC/1292/2023 del 3 ottobre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à l'entretien de l'épouse et sur l'attribution du domicile conjugal, soit une affaire de nature pécuniaire (arrêt du Tribunal fédéral 5A_344/2022 du 31 août 2022 consid. 1) dont la valeur litigieuse requise est atteinte, compte tenu de la capitalisation des montants litigieux selon l'art. 92 al. 2 CPC. 1.2.1 L’appel, écrit et motivé, est introduit auprès de l’instance d’appel dans les 30 jours à compter de la notification de la décision motivée (art. 311 al. 1 CPC).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w:t>
      </w:r>
    </w:p>
    <w:p>
      <w:r>
        <w:t>- 7/13 -</w:t>
      </w:r>
    </w:p>
    <w:p>
      <w:r>
        <w:t>C/25918/2022 manière générale (ATF 141 III 569 consid. 2.3.3; arrêt du Tribunal fédéral 5A_779/2021, 5A_787/2021 du 16 décembre 2022 consid. 4.3.1 et les références citées); il doit s'efforcer d'établir que, sur les faits constatés ou sur les conclusions juridiques qui en ont été tirées, la décision attaquée est entachée d'erreurs. La motivation est une condition légale de recevabilité de l'appel, qui doit être examinée d'office.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5A_779/2021, 5A_787/2021 du 16 décembre 2022 consid. 4.3.1; 5A_577/2020 du 16 décembre 2020 consid. 5 et 4A_97/2014 du 26 juin 2014 consid. 3.3). 1.2.2 En l'espèce, même s'il n'y a pas conclu formellement, on comprend que le recourant, agissant en personne, sollicite l'annulation des chiffres 2 et 3 du dispositif du jugement querellé. Interjeté dans le délai utile de dix jours dès la notification du jugement (art. 142 al. 1, art. 143 al. 1, art. 271 lit. a et art. 314 al. 1 CPC), l'appel est recevable à cet égard. Si l'appelant a suffisamment motivé son appel s'agissant du principe du versement d'une contribution à l'entretien de l'intimée, il n'a en revanche pas critiqué le jugement s'agissant de l'attribution de la jouissance exclusive du domicile conjugal. En effet, il s'est borné à alléguer, sans s'attacher à démontrer le caractère erroné du jugement, d'une part, que le logement était suffisamment grand pour que les deux parties puissent y résider jusqu'à la vente de la villa, et d'autre part, que l'intimée n'aidait pas à la vente de la villa, "refusant de venir signer" quand un acquéreur se présentait. Il n'a, en revanche, pas contesté le jugement en tant qu'il a retenu que la cohabitation au sein du domicile conjugal était difficile, de sorte qu'il se justifiait d'attribuer le logement à l'un des époux, ni fait valoir que le Tribunal aurait procédé à une pesée des intérêts erronée en attribuant la jouissance du domicile conjugal à son épouse. Il n'a notamment pas contesté qu'il lui serait plus aisé qu'à l'intimée de retrouver un logement. En outre, même dans l'hypothèse, non prouvée, où l'intimée s'opposerait à la vente de la maison, cette opposition ne constituerait pas un élément pertinent pour ne pas lui en attribuer la jouissance. En conséquence, insuffisamment motivée, la conclusion de l'appelant relative à l'attribution de la jouissance du domicile conjugal en sa faveur sera déclarée irrecevable. En tout état, les arguments retenus par le premier juge pour attribuer le domicile conjugal à l'intimée ne prêtent pas le flanc à la critique, étant encore précisé que le juge des mesures protectrices ne peut qu'attribuer à l'un ou l'autre des époux la jouissance du domicile conjugal mais pas, comme semble le</w:t>
      </w:r>
    </w:p>
    <w:p>
      <w:r>
        <w:t>- 8/13 -</w:t>
      </w:r>
    </w:p>
    <w:p>
      <w:r>
        <w:t>C/25918/2022 souhaiter l'appelant, les autoriser à demeurer ensemble au domicile conjugal (art. 175 et 176 al. 1 ch. 2 CC). Formé dans le délai prescrit par la loi, le mémoire de réponse déposé par l'intimée est recevable (art. 314 al. 1 CPC).</w:t>
      </w:r>
    </w:p>
    <w:p>
      <w:r>
        <w:rPr>
          <w:b/>
        </w:rPr>
        <w:t>E. 1.3</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1.5</w:t>
      </w:r>
    </w:p>
    <w:p>
      <w:r>
        <w:t>En tant qu'elle porte sur la question de la contribution à l'entretien de l'épouse et sur l'attribution du domicile conjugal en l'absence d'enfants mineurs, la cause est soumise à la maxime de disposition (art. 58 al. 1 CPC) et à la maxime inquisitoire limitée (art. 55 al. 2, 277 et 272 CPC), de sorte que le Tribunal ne peut accorder à une partie ni plus ni autre chose que ce qui est demandé, ni moins que ce qui est reconnu par la partie adverse (arrêt du Tribunal fédéral 5A_751/2019 du 25 février 2020 consid. 5.1).</w:t>
      </w:r>
    </w:p>
    <w:p>
      <w:r>
        <w:rPr>
          <w:b/>
        </w:rPr>
        <w:t>E. 2</w:t>
      </w:r>
    </w:p>
    <w:p>
      <w:r>
        <w:t>Les parties ont déposé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soit les faits qui se sont produits après le jugement de première instance, ou plus précisément après les débats principaux de première instance (art. 229 al. 1 CPC), la condition de nouveauté posée par l'art. 317 al. 1 let. b CPC est sans autre réalisée et seule celle d'allégation immédiate (art. 317 al. 1 let. a CPC) doit être examinée (arrêt du Tribunal fédéral 5A_621/2012 du 20 mars 2013 consid. 5.1).</w:t>
      </w:r>
    </w:p>
    <w:p>
      <w:r>
        <w:t>- 9/13 -</w:t>
      </w:r>
    </w:p>
    <w:p>
      <w:r>
        <w:t>C/25918/2022 S’agissant des faux nova, à savoir les faits et moyens de preuve qui existaient déjà lors de la fixation de l’objet du litige devant la première instance, il incombe au plaideur qui désire les invoquer devant l’instance d’appel de démontrer qu’il a fait preuve de la diligence requise, si bien qu’on ne saurait lui reprocher de ne pas les avoir invoqués ou produits devant la première instance. La partie qui se prévaut d’avoir usé de la diligence requise doit exposer précisément les raisons pour lesquelles le moyen de preuve ou le fait nouveau n’a pas été porté plus tôt à la procédure, étant rappelé – s’agissant des faux nova – qu’il incombe, en première instance, à chaque plaideur d’exposer l’état de fait de manière soigneuse et complète ainsi que de faire état de tous les moyens de preuve propres à établir les faits pertinents (JEANDIN, Commentaire romand, Code de procédure civile, 2019, n. 8 ad art. 317 CPC et les références citées). Les inscriptions au Registre du commerce constituent des faits notoires (ATF 143 IV 380 consid. 1.2), qui ne doivent pas être prouvés (art. 151 CPC) et qui peuvent, selon la jurisprudence, être pris en considération d'office (ATF 137 III 623 consid. 3; arrêt du Tribunal fédéral 5A_719/2018 du 12 avril 2019 consid. 3.2.1 et 3.2.3).</w:t>
      </w:r>
    </w:p>
    <w:p>
      <w:r>
        <w:rPr>
          <w:b/>
        </w:rPr>
        <w:t>E. 2.2</w:t>
      </w:r>
    </w:p>
    <w:p>
      <w:r>
        <w:t>En l'espèce, l'extrait du Registre du commerce produit par l'appelant constitue un fait notoire au sens de la jurisprudence précitée, de sorte qu'il est recevable. Les autres pièces produites par l'appelant sont irrecevables, à l'exception de l'extrait de son compte bancaire pour la période postérieure au 14 mars 2023, dès lors qu'elles se rapportent à des faits antérieurs à la date à laquelle le Tribunal a gardé la cause à juger et que l'appelant n'indique pas les raisons pour lesquelles ces pièces n'ont pas été produites devant le premier juge, étant encore précisé que le résumé de l'audience élaboré par l'appelant ne constitue pas une pièce mais une extension de son écriture. Les pièces produites par l'intimée sont recevables en tant qu'elles se rapportent à des faits postérieurs à la date à laquelle le premier juge a gardé la cause à juger.</w:t>
      </w:r>
    </w:p>
    <w:p>
      <w:r>
        <w:rPr>
          <w:b/>
        </w:rPr>
        <w:t>E. 3</w:t>
      </w:r>
    </w:p>
    <w:p>
      <w:r>
        <w:t>Pour la première fois en appel, l'appelant conclut à ce que l'intimée soit condamnée à lui rembourser "une compensation pour son travail non effectué".</w:t>
      </w:r>
    </w:p>
    <w:p>
      <w:r>
        <w:rPr>
          <w:b/>
        </w:rPr>
        <w:t>E. 3.1</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- 10/13 -</w:t>
      </w:r>
    </w:p>
    <w:p>
      <w:r>
        <w:t>C/25918/2022</w:t>
      </w:r>
    </w:p>
    <w:p>
      <w:r>
        <w:rPr>
          <w:b/>
        </w:rPr>
        <w:t>E. 3.2</w:t>
      </w:r>
    </w:p>
    <w:p>
      <w:r>
        <w:t>En l'espèce, la conclusion nouvelle de l'appelant ne repose ni sur des faits ni sur des moyens de preuve nouveaux, raison pour laquelle elle doit être déclarée irrecevable.</w:t>
      </w:r>
    </w:p>
    <w:p>
      <w:r>
        <w:rPr>
          <w:b/>
        </w:rPr>
        <w:t>E. 4</w:t>
      </w:r>
    </w:p>
    <w:p>
      <w:r>
        <w:t>L'appelant reproche au Tribunal de l'avoir condamné à verser une contribution à l'entretien de l'intimée, en invoquant un manque de coopération de sa part dans l'établissement de sa situation financière. Il fait également valoir que l'intimée réalise des revenus lui permettant de contribuer à son entretien.</w:t>
      </w:r>
    </w:p>
    <w:p>
      <w:r>
        <w:t>4.1.1 Selon l'art. 176 al. 1 ch. 1 CC, le juge fixe, sur requête, la contribution d'entretien à verser à un époux si la suspension de la vie commune est fondée. Le principe et le montant de la contribution d'entretien due au conjoint selon l'art. 176 al. 1 ch. 1 CC se déterminent en fonction des facultés économiques et des besoins respectifs des époux. Tant que l'union conjugale n'est pas dissoute, les époux conservent, même après leur séparation, un droit égal de conserver leur train de vie antérieur, en application des art. 163 et 164 CC. Quand il n'est pas possible de conserver ce niveau de vie, les conjoints ont droit à un train de vie semblable. Le train de vie mené jusqu'à la cessation de la vie commune constitue la limite supérieure du droit à l'entretien (ATF 147 III 293 consid. 4.4; arrêts du Tribunal 5A_935/2021 du 19 décembre 2022 consid. 3.1; 5A_409/2021 du 4 mars 2022 consid. 3.5.1 et les références citées). Dans tous les cas le minimum vital du droit des poursuites du débirentier doit être préservé (ATF 147 III 265 consid. 7.3). Le juge jouit d'un large pouvoir d'appréciation et applique les règles du droit et de l'équité (art. 4 CC; ATF 140 III 337 consid. 4.2.2; 134 III 577 consid. 4; 128 III 411 consid. 3.2.2). 4.1.2 Le Tribunal fédéral a posé, pour toute la Suisse, une méthode de calcul uniforme des contributions d'entretien du droit de la famille, soit la méthode du minimum vital avec répartition de l'excédent, dite en deux étapes (ATF 147 III 265, in SJ 2021 I 316; ATF 147 III 293 et ATF 147 III 301). Selon cette méthode, on examine les ressources – en prenant en considération tous les revenus du travail, de la fortune et les prestations de prévoyance, ainsi que le revenu hypothétique éventuel –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w:t>
      </w:r>
    </w:p>
    <w:p>
      <w:r>
        <w:t>- 11/13 -</w:t>
      </w:r>
    </w:p>
    <w:p>
      <w:r>
        <w:t>C/25918/2022 4.2.1 En l'espèce, l'appelant reproche au Tribunal d'avoir considéré qu'il avait fait preuve d'opacité sur ses revenus. Il fait valoir qu'il ne savait pas quels documents il devait fournir, que certains bilans n'étaient pas encore disponibles et qu'il voyageait "pour le travail" à la date à laquelle il devait les produire, le temps imparti pour préparer sa défense ayant été trop court. Ce grief est infondé. Il résulte clairement du procès-verbal de l'audience du 31 janvier 2023 que les documents réclamés consistaient à tout le moins dans les comptes pertes et profits des sociétés dont l'appelant est administrateur et actionnaire. En outre, compte tenu de la prolongation accordée par le Tribunal, l'appelant a bénéficié d'un délai suffisant d'un mois et demi pour réunir ces documents, qu'il devait déjà détenir. Enfin, s'il est possible que les comptes des sociétés pour l'année 2022 n'aient pas encore été établis en mars 2023, l'appelant aurait pu à tout le moins produire ceux-ci pour l'année 2021 et les documents pertinents pour l'année 2022. L'appelant n'a d'ailleurs pas produit les comptes des sociétés en appel, alors qu'il a bénéficié de plusieurs mois supplémentaires pour les établir. C'est donc à juste titre que le Tribunal a considéré que l'appelant n'avait pas coopéré à établir quelle était sa situation financière, étant relevé que ce dernier ne s'est pas impliqué dans la procédure, ne se présentant même pas lors des plaidoiries finales. Pour le surplus, l'appelant ne fait que reprendre son allégué de première instance, à savoir qu'il est actuellement sans revenu, sans en apporter la preuve. Il sera relevé que le fait qu'aucun salaire n'est versé sur le compte [auprès de] D______, dont l'appelant a produit un extrait, ne rend pas vraisemblable l'absence de revenu, dès lors qu'il dispose d'autres comptes bancaires, à tout le moins ceux qu'il a fait figurer dans ses déclarations fiscales, qu'il n'a pas documentés et sur lesquels pourraient être versés ses gains. Compte tenu de ce qui précède, il ne peut être reproché au Tribunal d'avoir considéré comme vraisemblable que l'appelant continue de réaliser un revenu correspondant au salaire qu'il percevait encore en décembre 2021, soit 10'000 fr. nets par mois. 4.2.2 L'appelant fait valoir, par ailleurs, que l'intimée tirerait un revenu de 5'500 fr. par mois de son activité auprès de la commune de Q______, au marché de R______ et de ses "autres activités professionnelles". Il s'avère que l'activité de l'intimée auprès de la commune de Q______ a consisté dans un stage, dont on ignore s'il a été rémunéré, qui était une condition préalable à son inscription à [la Haute école] E______. Il ne s'agissait donc pas d'un emploi mais d'une formation temporaire. En outre, l'activité développée par l'intimée au marché de R______ ne peut être qu'accessoire dès lors qu'elle n'est exercée qu'une matinée par semaine environ et neuf mois par année. Il est, en outre, vraisemblable que l'intimée ne pourra jamais vivre de cette activité accessoire. L'intimée a récemment entrepris une formation en architecture du paysage. Dans la mesure où cela fait plus de vingt ans qu'elle</w:t>
      </w:r>
    </w:p>
    <w:p>
      <w:r>
        <w:t>- 12/13 -</w:t>
      </w:r>
    </w:p>
    <w:p>
      <w:r>
        <w:t>C/25918/2022 est restée éloignée du marché du travail et qu'elle est actuellement âgée de 53 ans, il n'est pas inéquitable de lui laisser poursuivre les trois années nécessaires à sa formation afin qu'elle puisse retrouver son indépendance financière, étant relevé que l'appelant n'a pas contesté le jugement en tant qu'il retient que les conditions ne sont pas réunies pour qu'un revenu hypothétique puisse être imputé à l'intimée. Pour le surplus, l'appelant n'a pas précisé quelles autres activités professionnelles l'intimée exercerait ou pourrait exercer.</w:t>
      </w:r>
    </w:p>
    <w:p>
      <w:r>
        <w:rPr>
          <w:b/>
        </w:rPr>
        <w:t>E. 4.3</w:t>
      </w:r>
    </w:p>
    <w:p>
      <w:r>
        <w:t>L'appelant ne formulant pas de grief à l'encontre des calculs opérés par le Tribunal pour établir le montant de la contribution à l'entretien de l'intimée, le chiffre 3 du dispositif du jugement sera confirmé.</w:t>
      </w:r>
    </w:p>
    <w:p>
      <w:r>
        <w:rPr>
          <w:b/>
        </w:rPr>
        <w:t>E. 5</w:t>
      </w:r>
    </w:p>
    <w:p>
      <w:r>
        <w:t>Les frais judiciaires d'appel seront fixés à 1'000 fr. (art. 95 al. 1 let. a et al. 2, 96, 104 al. 1 et 105 al. 1 CPC ; art. 31 et 37 RTFMC), et mis à la charge de l'appelant, qui succombe (art. 106 al.1 CPC). Ils seront compensés à due concurrence avec l'avance de frais de 2'000 fr. fournie par l'appelant, le solde de cette avance lui étant restitué. Le litige relevant du droit de la famille, chaque partie supportera ses propres dépens d'appel (art. 107 al. 1 let. c CPC). * * * * *</w:t>
      </w:r>
    </w:p>
    <w:p>
      <w:r>
        <w:t>- 13/13 -</w:t>
      </w:r>
    </w:p>
    <w:p>
      <w:r>
        <w:t>C/25918/2022 PAR CES MOTIFS, La Chambre civile : A la forme : Déclare recevable l'appel interjeté le 26 mai 2023 par A______ contre le jugement JTPI/5325/2023 rendu le 8 mai 2023 par le Tribunal de première instance dans la cause C/25918/2022. Au fond : Confirme ce jugement. Déboute les parties de toutes autres conclusions. Sur les frais : Arrête les frais judiciaires d’appel à 1'000 fr., les met à la charge de A______ et dit qu'ils sont compensés avec l'avance de frais fournie par ce dernier, qui reste, à due concurrence, acquise à l'Etat de Genève. Ordonne aux Services financiers du Pouvoir judiciaire de restituer la somme de 1'000 fr. à A______. Dit que chaque partie supportera ses propres dépens d'appel. Siégeant : Madame Paola CAMPOMAGNANI, présidente; Madame Jocelyne DEVILLE- CHAVANNE,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