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ACJC/1292/2022 vom 3. Oktober 2022</w:t>
      </w:r>
    </w:p>
    <w:p>
      <w:r>
        <w:t>GE Cour de justice, 2022-10-03, FR</w:t>
      </w:r>
    </w:p>
    <w:p>
      <w:r>
        <w:rPr>
          <w:b/>
        </w:rPr>
        <w:t xml:space="preserve">Quelle: </w:t>
      </w:r>
      <w:r>
        <w:t>https://mcp.opencaselaw.ch/entscheid/ge_gerichte_ACJC_1292_2022</w:t>
      </w:r>
    </w:p>
    <w:p>
      <w:r>
        <w:t>FR: GE_GERICHTE ACJC/1292/2022 du 3 octobre 2022</w:t>
      </w:r>
    </w:p>
    <w:p>
      <w:r>
        <w:t>IT: GE_GERICHTE ACJC/1292/2022 del 3 ottobre 2022</w:t>
      </w:r>
    </w:p>
    <w:p>
      <w:pPr>
        <w:pStyle w:val="Heading2"/>
      </w:pPr>
      <w:r>
        <w:t>Erwägungen</w:t>
      </w:r>
    </w:p>
    <w:p>
      <w:r>
        <w:rPr>
          <w:b/>
        </w:rPr>
        <w:t>E. 1.1</w:t>
      </w:r>
    </w:p>
    <w:p>
      <w:r>
        <w:t>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la contribution à l'entretien de l'épouse, qui, capitalisée selon l'art. 92 al. 2 CPC, est supérieure à 10'000 fr. La voie de l'appel est dès lors ouverte.</w:t>
      </w:r>
    </w:p>
    <w:p>
      <w:r>
        <w:rPr>
          <w:b/>
        </w:rPr>
        <w:t>E. 1.2</w:t>
      </w:r>
    </w:p>
    <w:p>
      <w:r>
        <w:t>Interjeté dans le délai utile de dix jours (art. 271 lit. a et 314 al. 1 CPC) et suivant la forme prescrite par la loi (art. 130, 131, 311 al. 1 CPC), l'appel est recevable.</w:t>
      </w:r>
    </w:p>
    <w:p>
      <w:r>
        <w:rPr>
          <w:b/>
        </w:rPr>
        <w:t>E. 1.3</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w:t>
      </w:r>
    </w:p>
    <w:p>
      <w:r>
        <w:t>- 7/19 -</w:t>
      </w:r>
    </w:p>
    <w:p>
      <w:r>
        <w:t>C/11987/2020</w:t>
      </w:r>
    </w:p>
    <w:p>
      <w:r>
        <w:rPr>
          <w:b/>
        </w:rPr>
        <w:t>E. 1.4</w:t>
      </w:r>
    </w:p>
    <w:p>
      <w:r>
        <w:t>Les mesures provisionnelles étant soumises à la procédure sommaire, avec administration restreinte des moyens de preuve, la cognition du juge est toutefois limitée à la simple vraisemblance des faits et à un examen sommaire du droit (ATF 127 III 474 consid. 2b/bb; arrêt du Tribunal fédéral 5A_442/2013 du 24 juillet 2013 consid. 2.1 et 5.1). Le litige étant circonscrit au montant de la contribution due pour l'entretien de l'appelante, la présente procédure est soumise aux maximes inquisitoire simple (art. 272 CPC) et de disposition (art. 58 al. 1 CPC ATF 129 III 417 consid. 2.1.1; arrêt du Tribunal fédéral 5A_524/2017 du 9 octobre 2017 consid. 3.1).</w:t>
      </w:r>
    </w:p>
    <w:p>
      <w:r>
        <w:rPr>
          <w:b/>
        </w:rPr>
        <w:t>E. 2</w:t>
      </w:r>
    </w:p>
    <w:p>
      <w:r>
        <w:t>Les parties ont produit des pièces nouvelles à l'appui de leurs écritures d'appel et allégués des faits nouveaux.</w:t>
      </w:r>
    </w:p>
    <w:p>
      <w:r>
        <w:rPr>
          <w:b/>
        </w:rPr>
        <w:t>E. 2.1</w:t>
      </w:r>
    </w:p>
    <w:p>
      <w:r>
        <w:t>Aux termes de l'art. 317 al. 1 CPC, les moyens de preuve nouveaux ne sont pris en considération au stade de l'appel que s'ils sont produits sans retard (let. a) et s'ils ne pouvaient l'être devant la première instance, bien que la partie qui s'en prévaut ait fait preuve de la diligence requise (let. b). Ces conditions sont cumulatives (ATF 144 III 349 consid. 4.2.1).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5A_739/2012 du 17 mai 2013 consid. 9.2.2).</w:t>
      </w:r>
    </w:p>
    <w:p>
      <w:r>
        <w:rPr>
          <w:b/>
        </w:rPr>
        <w:t>E. 2.2</w:t>
      </w:r>
    </w:p>
    <w:p>
      <w:r>
        <w:t>En l'espèce, s'agissant du courrier de l'Hospice général du 5 janvier 2022, il a été établi deux jours avant que la cause ne soit gardée à juger. L'appelante n'explique pas la raison pour laquelle elle n'a pas été en mesure de la produire devant le premier juge alors qu'il le lui incombait. Il apparait dès lors que cette pièce est irrecevable, de même que les allégués de faits s'y rapportant. A titre superfétatoire, même à supposer qu'elle soit recevable, elle n'est pas déterminante pour l'issue du litige. Concernant les récépissés postaux du 12 janvier 2022, ils sont postérieurs au jugement attaqué et ont été produit à l'appui de l'appel, soit sans retard, de sorte qu'ils sont recevables, de même que les faits qui s'y rapportent.</w:t>
      </w:r>
    </w:p>
    <w:p>
      <w:r>
        <w:rPr>
          <w:b/>
        </w:rPr>
        <w:t>E. 3</w:t>
      </w:r>
    </w:p>
    <w:p>
      <w:r>
        <w:t>L'appelante conteste le montant de la contribution d'entretien que le Tribunal a fixée en sa faveur. Elle lui fait grief de ne pas avoir partagé entre les parties l'excédent de l'intimé et lui reproche d'avoir pris en compte la diminution des revenus de ce dernier, l'intimé n'ayant pas rendu vraisemblable ses problèmes de santé ainsi que le fait que ceux-ci entraînent une incapacité partielle de travail.</w:t>
      </w:r>
    </w:p>
    <w:p>
      <w:r>
        <w:t>- 8/19 -</w:t>
      </w:r>
    </w:p>
    <w:p>
      <w:r>
        <w:t>C/11987/2020 L'intimé soutient, de son côté, qu'un revenu hypothétique devrait être imputé à l'appelante pour une activité à mi-temps.</w:t>
      </w:r>
    </w:p>
    <w:p>
      <w:r>
        <w:rPr>
          <w:b/>
        </w:rPr>
        <w:t>E. 3.1</w:t>
      </w:r>
    </w:p>
    <w:p>
      <w:r>
        <w:t>Selon l'art. 176 al. 1 ch. 1 CC, lorsque le juge constate que la suspension de la vie commune est fondée, il fixe la contribution pécuniaire à verser par un époux à l'autre. La fixation de la contribution d'entretien relève de l'appréciation du juge, qui jouit d'un large pouvoir en la matière et applique les règles du droit et de l'équité (art. 4 CC; arrêt du Tribunal fédéral 5A_892/2013 du 19 juillet 2014 consid. 4.4.3).</w:t>
      </w:r>
    </w:p>
    <w:p>
      <w:r>
        <w:rPr>
          <w:b/>
        </w:rPr>
        <w:t>E. 3.1.1</w:t>
      </w:r>
    </w:p>
    <w:p>
      <w:r>
        <w:t>Dans trois arrêts publiés récents (ATF 147 III 265 in SJ 2021 I 316; 147 III 293 et 147 III 301), le Tribunal fédéral a posé, pour toute la Suisse, une méthode de calcul uniforme des contributions d'entretien du droit de la famille, soit la méthode du minimum vital avec répartition de l'excédent (dite en deux étapes), y compris dans le domaine de l'entretien entre époux (ATF 147 III 301 consid. 4). Cette méthode implique de calculer dans un premier temps les moyens financiers à disposition, en prenant en considération tous les revenus du travail, de la fortune et les prestations de prévoyance, ainsi que le revenu hypothétique éventuel. Le revenu déterminant ne comprend toutefois ni l'assistance sociale ni les prestations complémentaires AVS/AI, car celles-ci sont subsidiaires aux contributions du droit de la famille (arrêts du Tribunal fédéral 5A_128/2016 du 22 août 2016 consid. 5.1.4.1 et 5A_158/2010 du 25 mars 2010 consid. 3.2).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L'excédent doit en principe être réparti entre les parents et les enfants mineurs par "grandes têtes" et "petites têtes", la part d'un enfant correspondant à la moitié de celle d'un parent. L'excédent doit se répartir en fonction de la situation concrète. Au moment de fixer l'entretien à verser, il convient de tenir compte des circonstances entourant la prise en charge des enfants mineurs (ATF 147 III 265 précité consid. 7). Dans le calcul des besoins, le point de départ est le minimum vital du droit des poursuites, comprenant l'entretien de base selon les normes d'insaisissabilité (NI 2022, RS/GE E 3 60.04), auquel sont ajoutées les dépenses incompressibles. Dans la mesure où les moyens financiers le permettent, la contribution d'entretien doit être étendue au minimum vital du droit de la famille. Pour les adultes, les postes suivants entrent généralement dans cette catégorie : les impôts, les forfaits</w:t>
      </w:r>
    </w:p>
    <w:p>
      <w:r>
        <w:t>- 9/19 -</w:t>
      </w:r>
    </w:p>
    <w:p>
      <w:r>
        <w:t>C/11987/2020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(ATF 147 III 265 précité consid. 4.1.5 et 7.2). En principe, seules les dettes régulièrement payées que les époux ont contractées pour leur entretien commun ou dont ils sont solidairement responsables doivent être prises en compte (ATF 127 III 289 consid. 2a/bb; arrêt du Tribunal fédéral 5A_1032/2019 du 9 juin 2020 consid. 3.2). Seules les charges effectives, dont le débirentier s'acquitte réellement, doivent être prises en compte pour fixer les contributions d'entretien (ATF 121 III 20 consid. 3a; arrêt du Tribunal fédéral 5A_717/2019 du 20 avril 2020 consid. 3.1.2.2). Dans tous les cas, le minimum vital du droit des poursuites du débirentier doit être préservé (ATF 147 III 265 précité consid. 7.3; arrêt du Tribunal fédéral 5A_450/2020 du 4 janvier 2021 consid. 5.3).</w:t>
      </w:r>
    </w:p>
    <w:p>
      <w:r>
        <w:rPr>
          <w:b/>
        </w:rPr>
        <w:t>E. 3.1.2</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 En effet,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(ATF 147 III 301 consid. 6). Lorsqu'il entend tenir compte d'un revenu hypothétique, le juge doit examiner successivement deux conditions. Il doit d'abord déterminer si l'on peut raisonnablement exiger d'une personne qu'elle exerce une activité lucrative ou</w:t>
      </w:r>
    </w:p>
    <w:p>
      <w:r>
        <w:t>- 10/19 -</w:t>
      </w:r>
    </w:p>
    <w:p>
      <w:r>
        <w:t>C/11987/2020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Lorsque la prise en charge d'un enfant est assumée par les deux parents, la capacité de gain de chacun d'eux n'est en principe réduite que dans la mesure de la prise en charge effective (arrêt du Tribunal fédéral 5A_472/2019 du 3 novembre 2020 consid. 3.2.2).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5A_553/2020 du 16 février 2021 consid. 5.2.1; 5A_571/2018 du 14 septembre 2018 consid. 5.1.2; 5A_584/2016 du 14 février 2017 consid. 5.1).</w:t>
      </w:r>
    </w:p>
    <w:p>
      <w:r>
        <w:rPr>
          <w:b/>
        </w:rPr>
        <w:t>E. 3.1.3</w:t>
      </w:r>
    </w:p>
    <w:p>
      <w:r>
        <w:t>Lorsqu'un débirentier – ou un crédirentier – prétend ne pas être en mesure de travailler pour des raisons médicales, le certificat qu'il produit doit justifier les troubles à la santé et contenir un diagnostic. Des conclusions doivent être tirées</w:t>
      </w:r>
    </w:p>
    <w:p>
      <w:r>
        <w:t>- 11/19 -</w:t>
      </w:r>
    </w:p>
    <w:p>
      <w:r>
        <w:t>C/11987/2020 entre les troubles à la santé et l'incapacité de travail ainsi que sur leur durée (arrêts du Tribunal fédéral 5A_94/2011 du 16 juin 2011 consid. 6.3.3 et 5A_807/2009 du 26 mars 2010 consid. 3). En outre, le juge ne peut se fonder sur un certificat médical indiquant sans autre une incapacité de durée indéterminée, alors que la contribution s'inscrit dans la durée (ATF 127 III 68 consid. 3; BASTONS BULLETI, L'entretien après divorce: méthodes de calcul, montant, durée et limites, in SJ 2007 II, p. 97).</w:t>
      </w:r>
    </w:p>
    <w:p>
      <w:r>
        <w:rPr>
          <w:b/>
        </w:rPr>
        <w:t>E. 3.1.4</w:t>
      </w:r>
    </w:p>
    <w:p>
      <w:r>
        <w:t>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(ATF 132 III 209 consid. 2.3; arrêt du Tribunal fédéral 5A_36/2016 du 29 mars 2016 consid. 4.1).</w:t>
      </w:r>
    </w:p>
    <w:p>
      <w:r>
        <w:rPr>
          <w:b/>
        </w:rPr>
        <w:t>E. 3.1.5</w:t>
      </w:r>
    </w:p>
    <w:p>
      <w:r>
        <w:t>La contribution d'entretien peut être réclamée pour l'avenir et pour l'année qui précède l'introduction de la requête (art. 173 al. 3 CC; arrêt du Tribunal fédéral 5A_458/2014 du 8 septembre 2014 consid. 4.1.2; ATF 115 II 201 consid. 2). La contribution prend effet – au plus tôt – au moment du dépôt de la requête ou à une date ultérieure, l'octroi d'un tel effet rétroactif relevant toutefois de l'appréciation du juge (arrêt du Tribunal fédéral 5A_681/2014 du 14 avril 2015 consid. 4.3). Un éventuel effet rétroactif ne se justifie que si l'entretien dû n'a pas été assumé en nature ou en espèces ou dès qu'il a cessé de l'être (arrêt du Tribunal fédéral 5A_591/2011 du 7 décembre 2011 consid. 5.2). Le juge des mesures protectrices doit tenir compte des montants qui auraient déjà été versés à titre d'entretien. Il doit fixer précisément l'entretien déjà versé et la différence qui reste due (DE WECK-IMMELE, Droit matrimonial, Fond et procédure, 2015, n. 29 ad art. 173 CC).</w:t>
      </w:r>
    </w:p>
    <w:p>
      <w:r>
        <w:rPr>
          <w:b/>
        </w:rPr>
        <w:t>E. 3.2</w:t>
      </w:r>
    </w:p>
    <w:p>
      <w:r>
        <w:t>En l'espèce, c'est à tort que le Tribunal n'a pas appliqué la méthode du minimum vital avec répartition de l'excédent pour le calcul de la contribution d'entretien en faveur de l'appelante, le pluralisme des méthodes ayant été abandonné par le Tribunal fédéral. Il y a dès lors lieu de réexaminer les revenus et charges des parties à la lumière des griefs soulevés, en tenant compte des principes dégagés dans la jurisprudence récente précitée du Tribunal fédéral.</w:t>
      </w:r>
    </w:p>
    <w:p>
      <w:r>
        <w:t>- 12/19 -</w:t>
      </w:r>
    </w:p>
    <w:p>
      <w:r>
        <w:t>C/11987/2020</w:t>
      </w:r>
    </w:p>
    <w:p>
      <w:r>
        <w:rPr>
          <w:b/>
        </w:rPr>
        <w:t>E. 3.2.1</w:t>
      </w:r>
    </w:p>
    <w:p>
      <w:r>
        <w:t>S'agissant des revenus de l'appelante, il apparaît que celle-ci ne perçoit aucun revenu et n'exerce aucune activité lucrative. Il y a dès lors lieu d'examiner si un revenu hypothétique peut lui être imputé, cas échéant, à hauteur de quel montant et à partir de quand. L'appelante n'a jamais exercé d'activité lucrative en Suisse, ne maîtrise pas bien le français et doit prendre en charge sa fille mineure, âgée de 10 ans. Cela étant, elle- même n'est âgée que de 30 ans et il ne ressort pas de la procédure qu'elle serait limitée dans sa capacité de travail en raison d'un problème de santé particulier. Dans ces circonstances, compte tenu de la récente jurisprudence du Tribunal fédéral, et contrairement à ce qu'a retenu le premier juge, il peut être raisonnablement exigé d'elle, au stade des mesures protectrices de l'union conjugale déjà, qu'elle exerce une activité lucrative à Genève, à mi-temps, dans le domaine du nettoyage, domaine qui ne nécessite ni formation particulière ni la maîtrise du français. Selon le calculateur national de salaire, disponible en ligne (https://entsendung.admin.ch/Lohnrechner/lohnberechnung), le salaire brut médian à Genève pour une personne de 30 ans, sans formation ni fonction de cadre ni année de service, est de 1'880 fr. par mois pour une activité à 50% (20h hebdomadaire) dans le secteur des activités de services administratifs et de soutien, à savoir pour la fonction d'aide de ménage. Ce salaire est conforme au salaire minimum genevois de 23 fr. 27 brut de l'heure (cf. art. 39K al. 1 LIRT (RSGE J 1 05) et art. 1 ArSMC-2022 (RSGE J 1 05.03)). Après déduction de 12% de charges sociales, le salaire précité peut être arrêté à 1'655 fr. nets par mois. S'agissant de la possibilité effective de trouver rapidement un emploi et de la situation actuelle du marché du travail, l'appelante n'a produit aucune recherche d'emploi alors qu'elle savait devoir rechercher rapidement un emploi, que ce soit en Suisse ou dans l'hypothèse d'un retour en Colombie, la "convention de divorce" qu'elle avait acceptée dans un premier temps prévoyant une contribution d'entretien en sa faveur limitée dans le temps. Il n'est dès lors pas démontré que l'appelante ne serait pas en mesure de trouver à brève échéance un emploi dans le domaine précité ni que le marché du travail soit saturé. Il apparaît ainsi raisonnable et adéquat de lui imputer le revenu hypothétique précité à compter du prononcé du présent arrêt, l'appelante ayant bénéficié d'un délai pour trouver un emploi de plus de deux ans depuis la signature de ladite "convention de divorce" et de plus de dix-huit mois depuis la séparation effective des parties.</w:t>
      </w:r>
    </w:p>
    <w:p>
      <w:r>
        <w:rPr>
          <w:b/>
        </w:rPr>
        <w:t>E. 3.2.2</w:t>
      </w:r>
    </w:p>
    <w:p>
      <w:r>
        <w:t>Concernant l'intimé, celui-ci allègue que c'est en raison de son burn out et de sa dépression qu'il a réduit son taux d'activité à 60%. Or, il ne l'a pas rendu vraisemblable. Aucun document allant dans ce sens ne figure au dossier, le seul certificat médical attestant d'une hospitalisation d'une semaine ne permet ni de connaître la raison de l'hospitalisation ni de rattacher à celle-ci une incapacité de</w:t>
      </w:r>
    </w:p>
    <w:p>
      <w:r>
        <w:t>- 13/19 -</w:t>
      </w:r>
    </w:p>
    <w:p>
      <w:r>
        <w:t>C/11987/2020 travail partielle postérieure. Il apparaît dès lors que la réduction du taux d'activité résulte plutôt d'un choix de convenance personnelle de l'intimé – celui-ci étant proche de l'âge de la retraite –, voire même d'une volonté de l'intimé de réduire délibérément ses revenus pour tenter de se soustraire à son obligation d'entretien, cette diminution du taux d'activité étant intervenue quelques mois après le prononcé des mesures superprovisionnelles le condamnant au versement en mains de l'appelante d'une contribution d'entretien de 3'400 fr. par mois. Dans ces circonstances, un revenu hypothétique correspondant à celui qu'il gagnait précédemment lui sera imputé, ce avec effet rétroactif au jour de la diminution.</w:t>
      </w:r>
    </w:p>
    <w:p>
      <w:r>
        <w:rPr>
          <w:b/>
        </w:rPr>
        <w:t>E. 3.2.3</w:t>
      </w:r>
    </w:p>
    <w:p>
      <w:r>
        <w:t>S'agissant des charges de l'appelante, le Tribunal a retenu que l'intimé – qui assumait l'entretien financier de la fille mineure de son épouse durant la vie commune – devait continuer à le faire sur mesures protectrices de l'union conjugale. Dans la mesure où les parties ne le contestent pas, les charges relatives audit enfant seront dès lors comprises dans les charges de l'appelante. Concernant les primes d'assurance maladie, bien que l'appelante allègue ne plus bénéficier des subsides depuis 2022, elle ne le rend pas vraisemblable. Compte tenu de sa situation financière actuelle, la Cour retiendra une prime LAMal, subside déduit, de 306 fr. 65 par mois la concernant. Par rapport au montant de base OP, c'est à tort que le Tribunal n'a retenu qu'un montant de 1'200 fr. En effet, l'appelante doit assumer la prise en charge de sa fille mineure, de sorte qu'il y a lieu de retenir un montant de 1'350 fr. par mois. En ce qui concerne ses frais de transport, c'est à raison que le Tribunal a pris en compte le montant de 41 fr. 70 par mois puisque l'appelante est au bénéfice d'un abonnement annuel d'une valeur de 500 fr. En revanche, il n'est pas rendu vraisemblable que tel soit également le cas pour sa fille mineure, de sorte que c'est un abonnement mensuel de 45 fr. qu'il y a lieu de retenir la concernant. A propos du remboursement de la dette de l'appelante à l'Hospice général, nonobstant la vraisemblance du paiement régulier du montant de 100 fr. par mois, il apparaît que la dette n'a pas été contractée pour l'entretien commun des parties. Dès lors, c'est à juste titre que le Tribunal n'en a pas tenu compte. S'agissant des frais de logement pour la période du 25 décembre 2020 au 30 septembre 2021, il n'y a pas lieu de déduire la participation de l'Hospice général. En effet, non seulement l'aide sociale est subsidiaire aux contributions du droit de la famille mais il apparaît également que l'appelante est tenue de rembourser l'aide qu'elle a perçue, ce qu'elle fait au demeurant régulièrement par mensualités de 100 fr. En revanche, c'est à juste titre que le Tribunal a retranché les frais de repas de 528 fr., ceux-ci faisant partie du montant de base OP. Par conséquent, les frais de logement de l'appelante et de sa fille mineure seront arrêtés à 4'030 fr. par mois (4'558 fr. – 528 fr.) du 25 décembre 2020 au</w:t>
      </w:r>
    </w:p>
    <w:p>
      <w:r>
        <w:t>- 14/19 -</w:t>
      </w:r>
    </w:p>
    <w:p>
      <w:r>
        <w:t>C/11987/2020 30 septembre 2021 et à 1'221 fr. depuis le 1er octobre 2021, ce dernier montant n'étant pas contesté. En ce qui concerne sa charge fiscale, compte tenu des contributions d'entretien fixées dans le présent arrêt, celle-ci peut être estimée à 1'257 fr. 60 par mois pour la période du 25 décembre 2020 au 30 septembre 2021, à 774 fr. 90 par mois du 1er octobre 2021 jusqu'au prononcé du présent arrêt et à 862 fr. par mois dès le prononcé du présent arrêt. Enfin, les autres charges de la fille de l'appelante n'étant pas contestées, elles seront reprises telles quelles. Les charges de l'appelante et de sa fille totalisent le montant de 7'649 fr. 45 du 25 décembre 2020 au 30 septembre 2021, 4'357 fr. 75 du 1er octobre 2021 jusqu'au prononcé du présent arrêt et 4'444 fr. 85 dès le prononcé de l'arrêt. Compte tenu du revenu hypothétique précité (cf. consid. 3.2.1 supra) et des allocations familiales de 300 fr. perçues par l'appelante, celle-ci fait face à un déficit de 7'349 fr. 45 du 25 décembre 2020 au 30 septembre 2021, 4'057 fr. 75 du 1er octobre 2021 jusqu'au prononcé du présent arrêt et 2'489 fr. 85 dès le prononcé de l'arrêt.</w:t>
      </w:r>
    </w:p>
    <w:p>
      <w:r>
        <w:rPr>
          <w:b/>
        </w:rPr>
        <w:t>E. 3.2.4</w:t>
      </w:r>
    </w:p>
    <w:p>
      <w:r>
        <w:t>Concernant les charges de l'intimé, contrairement à ce qu'a retenu le premier juge, la situation financière des parties permet de tenir compte, dans les charges de l'intimé, des frais effectivement payés par ce dernier pour l'entretien de sa fille majeure. A ce propos, il est rendu vraisemblable que l'intimé s'acquitte des frais de scolarité à hauteur de 2'458 fr. 33 par mois ([20'000 fr. + 9'500 fr.] / 12 mois). En revanche, l'intimé n'a pas rendu vraisemblable qu'il s'acquittait également de la part du loyer de sa fille. En effet, bien que le contrat de bail soit au nom de l'intimé, il apparaît que le compte débité pour le paiement du loyer appartient à E______. Nonobstant le fait que la charge fiscale ne soit pas contestée, la Cour retiendra uniquement celle estimée par rapport à son activité à plein temps, à savoir 3'600 fr. par mois, étant encore souligné que, compte tenu des contributions d'entretien auquel il sera condamné, la charge fiscale précitée devrait être inférieure à ce montant. Les autres charges de l'intimé retenues par le Tribunal n'étant pas contestées, elles seront confirmées. Ainsi, les charges totales mensuelles de l'intimé seront arrêtées à 8'558 fr. 85 (6'100 fr. 50 + 2'458 fr. 33). Par conséquent, le solde disponible mensuel de l'intimé s'élève à 10'454 fr. 15 (19'013 fr. – 8'558 fr. 85).</w:t>
      </w:r>
    </w:p>
    <w:p>
      <w:r>
        <w:t>- 15/19 -</w:t>
      </w:r>
    </w:p>
    <w:p>
      <w:r>
        <w:t>C/11987/2020</w:t>
      </w:r>
    </w:p>
    <w:p>
      <w:r>
        <w:rPr>
          <w:b/>
        </w:rPr>
        <w:t>E. 3.2.5</w:t>
      </w:r>
    </w:p>
    <w:p>
      <w:r>
        <w:t>Après couvertures des charges des parties, le solde disponible du couple s'élève à 3'104 fr. 70 du 25 décembre 2020 au 30 septembre 2021, à 6'396 fr. 40 du 1er octobre 2021 au prononcé du présent arrêt et à 7'964 fr. 30 dès le prononcé de l'arrêt. L'appelante ayant droit, en sus de la couverture de ses charges et celles de sa fille, à la moitié de l'excédent, la contribution d'entretien en sa faveur sera fixée, par mois et d'avance, en équité, à 8'900 fr. du 1er janvier 2021 au 30 septembre 2021 (7'349 fr. 45 + [3'104 fr. 70 / 2]), 7'300 fr. du 1er octobre 2021 jusqu'au 30 septembre 2022 (4'057 fr. 75 + [6'396 fr. 40 / 2]) et à 6'500 fr. dès le 1er octobre 2022 (2'489 fr. 85 + [7'964 fr. 30 / 2]). Ces contributions mensuelles d'entretien sont dues sous déduction des sommes déjà versées à ce titre de 3'400 fr. par mois depuis le 1er avril 2021, ainsi que le Tribunal l'a relevé, sans avoir été contredit. Le chiffre 3 du dispositif du jugement sera dès lors réformé dans le sens qui précède.</w:t>
      </w:r>
    </w:p>
    <w:p>
      <w:r>
        <w:rPr>
          <w:b/>
        </w:rPr>
        <w:t>E. 4</w:t>
      </w:r>
    </w:p>
    <w:p>
      <w:r>
        <w:t>L'appelante sollicite le versement d'une provisio ad litem complémentaire pour la procédure d'appel.</w:t>
      </w:r>
    </w:p>
    <w:p>
      <w:r>
        <w:rPr>
          <w:b/>
        </w:rPr>
        <w:t>E. 4.1</w:t>
      </w:r>
    </w:p>
    <w:p>
      <w:r>
        <w:t>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(arrêts du Tribunal fédéral 5D_66/2020 du 14 août 2020 consid. 3.2; 5A_590/2019 du 13 février 2020 consid. 3.3 et 3.5).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arrêts du Tribunal fédéral 5A_808/2016 du 21 mars 2017 consid. 4.1; 5A_784/2008 du 20 novembre 2009 consid. 2).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(arrêts du Tribunal fédéral 4A_808/2016 du 21 mars 2017 consid. 4.1; 5A_372/2015 du 29 septembre 2015 consid. 4.1; 5A_448/2009 du 25 mai 2010 consid. 8.2). Toutefois, le Tribunal fédéral a considéré qu'il n'est pas arbitraire d'admettre que l'époux requérant qui perçoit depuis plusieurs années une pension excédant amplement</w:t>
      </w:r>
    </w:p>
    <w:p>
      <w:r>
        <w:t>- 16/19 -</w:t>
      </w:r>
    </w:p>
    <w:p>
      <w:r>
        <w:t>C/11987/2020 son minimum vital élargi (dans le cas jugé de 6'000 fr. par mois depuis plus de trois ans) peut être tenu de l'affecter en partie à ses frais de procès (arrêt du Tribunal fédéral 5A_850/2017 du 15 décembre 2017 consid. 3.2).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w:t>
      </w:r>
    </w:p>
    <w:p>
      <w:r>
        <w:rPr>
          <w:b/>
        </w:rPr>
        <w:t>E. 4.2</w:t>
      </w:r>
    </w:p>
    <w:p>
      <w:r>
        <w:t>En l'espèce, dès lors que le devoir d'assistance entre époux existe encore entre les parties, puisque leur divorce n'a pas encore été prononcé, l'appelante est, sur le principe, en droit de prétendre au versement d'une provisio ad litem pour les frais se rapportant à la présente procédure, pour autant qu'elle rende vraisemblable qu'elle n'est pas en mesure de couvrir ses frais de procédure. Les frais concernant l'appel seront arrêtés à 1'000 fr. (cf. consid. 6.1 infra), dont la moitié est mise à la charge de l'appelante. Les dépens seront en outre compensés (cf. consid. 6.2 infra), de sorte qu'elle sera tenue de rémunérer seule son conseil. Dans la mesure où l'appelante devrait récupérer un montant conséquent d'arriéré de contribution d'entretien, lequel comprend une part à l'excédent familial, et sera ensuite au bénéfice d'une contribution d'entretien en sa faveur de 6'500 fr. par mois, laquelle comprend également une part à l'excédent familial, elle sera en mesure de s'acquitter dans un délai raisonnable des frais judiciaires d'appel ainsi que de ses honoraires d'avocat, sans qu'il soit porté atteinte à son entretien courant.</w:t>
      </w:r>
    </w:p>
    <w:p>
      <w:r>
        <w:t>- 17/19 -</w:t>
      </w:r>
    </w:p>
    <w:p>
      <w:r>
        <w:t>C/11987/2020 Par conséquent, l'appelante n'a pas rendu vraisemblable ne pas être en mesure de s'acquitter des frais relatifs à la présente procédure d'appel, de sorte qu'elle sera déboutée de sa conclusion en paiement d'une provisio ad litem.</w:t>
      </w:r>
    </w:p>
    <w:p>
      <w:r>
        <w:rPr>
          <w:b/>
        </w:rPr>
        <w:t>E. 05</w:t>
      </w:r>
    </w:p>
    <w:p>
      <w:r>
        <w:t>10). La modification du jugement entrepris ne commande par ailleurs pas de revoir la répartition effectuée par le premier juge, qui n'est pas critiquable compte tenu de la nature du litige et du fait qu'aucune d'elles n'obtient le plein de ses conclusions de première instance (art. 106 al. 2 et 107 al. 1 let. c CPC). Le montant et la répartition des frais de première instance seront par conséquent confirmés.</w:t>
      </w:r>
    </w:p>
    <w:p>
      <w:r>
        <w:rPr>
          <w:b/>
        </w:rPr>
        <w:t>E. 5.1</w:t>
      </w:r>
    </w:p>
    <w:p>
      <w:r>
        <w:t>Lorsque l'instance d'appel statue à nouveau, elle se prononce sur les frais de la première instance (art. 318 al. 3 CPC). Les frais sont mis à la charge de la partie qui succombe (art. 106 al. 1 CPC). Ils sont répartis selon le sort de la cause lorsqu'aucune des parties n'obtient entièrement gain de cause (art. 106 al. 2 CPC). Le Tribunal peut s'écarter des règles générales et répartir les frais selon sa libre appréciation dans les litiges relevant du droit de la famille (art. 107 al. 1 let. c CPC).</w:t>
      </w:r>
    </w:p>
    <w:p>
      <w:r>
        <w:rPr>
          <w:b/>
        </w:rPr>
        <w:t>E. 5.2</w:t>
      </w:r>
    </w:p>
    <w:p>
      <w:r>
        <w:t>Les parties ne critiquent pas la quotité des frais de première instance, lesquels sont conformes au règlement fixant le tarif des frais en matière civil (RTFMC; E 1</w:t>
      </w:r>
    </w:p>
    <w:p>
      <w:r>
        <w:rPr>
          <w:b/>
        </w:rPr>
        <w:t>E. 6.1</w:t>
      </w:r>
    </w:p>
    <w:p>
      <w:r>
        <w:t>Les frais judiciaires de la procédure d'appel, y compris ceux relatif à l'arrêt sur effet suspensif, seront fixés à 1'000 fr. (art. 31 et 35 RTFMC). Ils seront mis à la charge des parties à raison d'une moitié chacune, compte tenu de la nature familiale du litige (art. 95 al. 1 let. a et al. 2, art. 104 al. 1, art. 105 al. 1, 106 al. 2 et 107 al. 1 let. c CPC). L'appelante plaidant au bénéfice de l'assistance judiciaire, sa part des frais sera provisoirement supportée par l'Etat de Genève, lequel pourra en réclamer le remboursement ultérieurement (art. 122 al. 1 let. b, 123 al. 1 CPC et 19 RAJ). L'intimé sera condamné à verser 500 fr. à l'Etat de Genève, soit pour lui les Services financiers du Pouvoir judiciaire.</w:t>
      </w:r>
    </w:p>
    <w:p>
      <w:r>
        <w:rPr>
          <w:b/>
        </w:rPr>
        <w:t>E. 6.2</w:t>
      </w:r>
    </w:p>
    <w:p>
      <w:r>
        <w:t>Compte tenu de la nature familiale du litige, il ne sera pas alloué de dépens d'appel (art. 95 al. 1 let. b et al. 3 et 107 al. 1 let c. CPC). * * * * *</w:t>
      </w:r>
    </w:p>
    <w:p>
      <w:r>
        <w:t>- 18/19 -</w:t>
      </w:r>
    </w:p>
    <w:p>
      <w:r>
        <w:t>C/11987/2020</w:t>
      </w:r>
    </w:p>
    <w:p>
      <w:r>
        <w:t>PAR CES MOTIFS, La Chambre civile :</w:t>
      </w:r>
    </w:p>
    <w:p>
      <w:r>
        <w:t>A la forme : Déclare recevable l'appel interjeté le 24 janvier 2022 par A______ contre le chiffre 3 du dispositif du jugement JTPI/99/2022 rendu le 10 janvier 2022 par le Tribunal de première instance dans la cause C/11987/2020. Au fond : Annule le chiffre 3 du dispositif du jugement précité. Cela fait et statuant à nouveau sur ce point : Condamne B______ à payer à A______ à titre de contribution à son entretien, par mois et d'avance, les sommes de : - 8'900 fr. du 1er janvier 2021 au 30 septembre 2021; - 7'300 fr. du 1er octobre 2021 jusqu'au 30 septembre 2022. Dit que ces contributions mensuelles d'entretien sont dues sous déduction des sommes déjà versées de 3'400 fr. par mois. Condamne B______ à payer, par mois et d'avance, à A______ 6'500 fr. dès le 1er octobre 2022 à titre de contribution à son entretien. Confirme le jugement entrepris pour le surplus. Déboute les parties de toutes autres conclusions.</w:t>
      </w:r>
    </w:p>
    <w:p>
      <w:r>
        <w:t>- 19/19 -</w:t>
      </w:r>
    </w:p>
    <w:p>
      <w:r>
        <w:t>C/11987/2020 Sur les frais : Arrête les frais judiciaires d'appel à 1'000 fr. et les répartit par moitié entre B______ et A______. Laisse provisoirement la part des frais de A______ en 500 fr. à la charge de l'Etat de Genève, qui pourra lui en demander le remboursement ultérieurement. Condamne B______ à verser 500 fr. à l'Etat de Genève, soit pour lui les Services financiers du Pouvoir judiciaire. Dit qu'il n'est pas alloué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