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ACJC/1290/2015 vom 2. März 2015</w:t>
      </w:r>
    </w:p>
    <w:p>
      <w:r>
        <w:t>GE Cour de justice, 2015-03-02, FR</w:t>
      </w:r>
    </w:p>
    <w:p>
      <w:r>
        <w:rPr>
          <w:b/>
        </w:rPr>
        <w:t xml:space="preserve">Quelle: </w:t>
      </w:r>
      <w:r>
        <w:t>https://mcp.opencaselaw.ch/entscheid/ge_gerichte_ACJC_1290_2015</w:t>
      </w:r>
    </w:p>
    <w:p>
      <w:r>
        <w:t>FR: GE_GERICHTE ACJC/1290/2015 du 2 mars 2015</w:t>
      </w:r>
    </w:p>
    <w:p>
      <w:r>
        <w:t>IT: GE_GERICHTE ACJC/1290/2015 del 2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La Chambre des baux et loyers de la Cour de justice a, de manière constante, estimé la durée de cette période à neuf mois, correspondant à l'estimation</w:t>
      </w:r>
    </w:p>
    <w:p>
      <w:r>
        <w:t>- 9/14 -</w:t>
      </w:r>
    </w:p>
    <w:p>
      <w:r>
        <w:t>C/484/2015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 La présente procédure a trait à une demande d'évacuation,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soit 55'233 fr. (loyer de 6'137 fr. x 9 mois). La voie de l'appel est ainsi ouverte. Par ailleurs, contre la décision relative à l'exécution de l'évacuation,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1.3</w:t>
      </w:r>
    </w:p>
    <w:p>
      <w:r>
        <w:t>En l'occurrence, l'acte déposé au greffe de la Cour de céans l'a été dans le délai légal de dix jours, de sorte qu'il est recevable sous cet angle. Les griefs soulevés, pour autant qu'on les comprenne, concernent essentiellement l'exécution de la décision d'évacuation. Les appelants ne remettent en effet pas en cause la validité de la décision d'évacuation. Il n'y a cependant pas lieu de se pencher plus avant sur la recevabilité de l'appel, au vu des considérations qui suivent. Le recours dirigé contre la décision d'exécution est recevable.</w:t>
      </w:r>
    </w:p>
    <w:p>
      <w:r>
        <w:t>- 10/14 -</w:t>
      </w:r>
    </w:p>
    <w:p>
      <w:r>
        <w:t>C/484/2015</w:t>
      </w:r>
    </w:p>
    <w:p>
      <w:r>
        <w:rPr>
          <w:b/>
        </w:rPr>
        <w:t>E. 2.1</w:t>
      </w:r>
    </w:p>
    <w:p>
      <w:r>
        <w:t>Selon l'art. 317 al. 1 CPC, les faits et moyens de preuve nouveaux ne sont pris en compte que s'ils sont invoqués ou produits sans retard (let. a) ou s'ils ne pouvaient être invoqués ou produits devant la première instance bien que la partie qui s'en prévaut ait fait preuve de la diligence requise (let. b). Selon la doctrine, le législateur a opté pour une prise en compte restrictive des faits et moyens de preuve nouveaux tout comme des conclusions nouvelles en appel. Il s'agit de ne pas minimiser l'importance de la procédure de première instance, que les parties auraient tendance à prendre à la légère si elles pouvaient compléter en appel, sans restriction, des allégués ou offres de preuve insuffisants. Au contraire, avec le système mis en place par l'art. 317 CPC, la partie qui aurait été négligente devant le premier juge en subira les conséquences, puisque l'allégué, l'offre de preuve ou la conclusion nouvelle tardivement présentés seront déclarés irrecevables (JEANDIN, op. cit., n° 3 ad art. 317 CPC).</w:t>
      </w:r>
    </w:p>
    <w:p>
      <w:r>
        <w:rPr>
          <w:b/>
        </w:rPr>
        <w:t>E. 2.2</w:t>
      </w:r>
    </w:p>
    <w:p>
      <w:r>
        <w:t>A l'appui de leur réplique du 21 avril 2015, les appelants ont produit, sous pièce n° 4, un article paru dans la Tribune de Genève du ______ 2015. Cette pièce nouvelle ne pouvait pas être déposée dans le cadre de la procédure de première instance car établie postérieurement à la fin de celle-ci. Elle est partant recevable, bien que non pertinente.</w:t>
      </w:r>
    </w:p>
    <w:p>
      <w:r>
        <w:rPr>
          <w:b/>
        </w:rPr>
        <w:t>E. 3.1</w:t>
      </w:r>
    </w:p>
    <w:p>
      <w:r>
        <w:t>A teneur des art. 248 let. b et 257 al. 1 CPC, le tribunal admet l'application de la procédure sommaire lorsque l'état de fait n'est pas litigieux ou est susceptible d'être immédiatement prouvé et lorsque la situation juridique est claire.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n. 9 ad art. 257 CPC; HOHL, Procédure civile, Tome II, Berne 2010, p.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Dans le domaine des baux et loyers, la procédure sommaire pour les cas clairs s'applique à certaines procédures d'expulsion, telles que la demande d'expulsion déposée contre un locataire qui a reçu le congé ordinaire et ne l'a pas contesté, ni n'a demandé la prolongation de bail dans le délai de l'art. 273 al. 1 et al. 2 let. a</w:t>
      </w:r>
    </w:p>
    <w:p>
      <w:r>
        <w:t>- 11/14 -</w:t>
      </w:r>
    </w:p>
    <w:p>
      <w:r>
        <w:t>C/484/2015 CO, la demande d'expulsion déposée contre un locataire dont le bail a valablement été résilié de manière anticipée pour retard dans le paiement du loyer (art. 257d al. 2 CO) ou la demande d'expulsion déposée contre un locataire qui a définitivement été débouté de sa demande d'annulation du congé ordinaire et/ou dont la prolongation de bail est arrivée à échéance (ACJC/240/2014 du 24 février 2014, consid. 4.4.1; LACHAT, op. cit., p. 167). La protection en cas clairs est ouverte lorsque le bailleur sollicite l'évacuation du locataire qui n'a pas quitté les locaux remis à bail de son plein gré à l'issue de la période de prolongation de bail accordée judiciairement. En effet, pareil cas ne présente aucune difficulté juridique, dès lors que le locataire viole son obligation de restitution, visée à l'art. 267 al. 1 CO, lorsqu'il se maintient dans les locaux à la fin de la prolongation judiciaire accordée.</w:t>
      </w:r>
    </w:p>
    <w:p>
      <w:r>
        <w:rPr>
          <w:b/>
        </w:rPr>
        <w:t>E. 3.2</w:t>
      </w:r>
    </w:p>
    <w:p>
      <w:r>
        <w:t>Dans le cas présent, compte tenu de la décision entrée en force de la Commission de conciliation en matière de baux et loyers du 28 août 2008, les appelants n'étaient plus au bénéfice d'un titre juridique les autorisant à occuper les locaux au-delà du 31 décembre 2014. Ils occupaient illicitement les locaux dès cette date, justifiant ainsi que leur évacuation soit ordonnée. L'état de fait était également parfaitement clair, de sorte que les arguments des appelants, s'ils peuvent être qualifiés de tels, n'ont pas à être examinés à ce stade. C'est à bon droit que l'application de la procédure sommaire a été admise par les premiers juges et que l'évacuation des appelants a été prononcée. Ainsi, pour autant qu'il soit recevable, l'appel serait de toute façon infondé, s'agissant du prononcé de l'évacuation.</w:t>
      </w:r>
    </w:p>
    <w:p>
      <w:r>
        <w:rPr>
          <w:b/>
        </w:rPr>
        <w:t>E. 4.1</w:t>
      </w:r>
    </w:p>
    <w:p>
      <w:r>
        <w:t>Si le tribunal qui a rendu la décision a ordonné les mesures d'exécution nécessaires, la décision peut être exécutée directement. La partie succombante peut demander la suspension de l'exécution auprès du tribunal de l'exécution (art. 337 al. 1 et 2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w:t>
      </w:r>
    </w:p>
    <w:p>
      <w:r>
        <w:t>- 12/14 -</w:t>
      </w:r>
    </w:p>
    <w:p>
      <w:r>
        <w:t>C/484/2015 le relogement du locataire ou du fermier lorsqu'il est appelé à statuer sur l'exécution d'un jugement d'évacuation d'un logement, après audition des représentants du département chargé du logement et des représentants des services sociaux ainsi que des parties.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L'art. 30 al. 4 LaCC ne s'applique pas aux locaux commerciaux (ACJC/239/2014 du 24 février 2014 consid. 6.1).</w:t>
      </w:r>
    </w:p>
    <w:p>
      <w:r>
        <w:rPr>
          <w:b/>
        </w:rPr>
        <w:t>E. 4.2</w:t>
      </w:r>
    </w:p>
    <w:p>
      <w:r>
        <w:t>En l'espèce, les premiers juges ont retenu, à juste titre, que l'octroi d'un sursis pour motifs humanitaires ne pouvait être ordonné lorsqu'est traitée la question d'une mesure d'expulsion portant sur des locaux commerciaux. L'argument "humanitaire" soulevé par les appelants, selon lequel huit employés se retrouveraient au chômage en cas de fermeture du restaurant ne saurait dès lors être pris en compte, les locaux litigieux étant précisément des locaux commerciaux. Il convient au demeurant de rappeler que cette circonstance a déjà été prise en considération dans le cadre de l'octroi de la prolongation de bail de six ans accordée aux appelants, ce qui correspond à la durée maximale prévue par le Code des obligations (art. 272b al. 1 CO). Les appelants qualifient encore "d'absurde" la perte de leur investissement d'un montant de 540'000 fr. effectué en 2000 à l'occasion de l'acquisition du fonds de commerce, si l'exécution était ordonnée. Ce fait ne saurait à lui seul entraîner un report de l'exécution de l'évacuation, étant relevé que les appelants ont procédé à l'investissement de 520'000 fr. en cours de bail, à leurs risques et périls, et que la Commission de conciliation en matière de baux et loyers a tenu compte de tous les éléments pertinents du cas d'espèce en accordant aux appelants une prolongation de bail d'une durée maximale de six ans.</w:t>
      </w:r>
    </w:p>
    <w:p>
      <w:r>
        <w:t>- 13/14 -</w:t>
      </w:r>
    </w:p>
    <w:p>
      <w:r>
        <w:t>C/484/2015</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w:t>
      </w:r>
    </w:p>
    <w:p>
      <w:r>
        <w:t>- 14/14 -</w:t>
      </w:r>
    </w:p>
    <w:p>
      <w:r>
        <w:t>C/484/2015 PAR CES MOTIFS, La Chambre des baux et loyers : A la forme : Déclare recevables l'appel et le recours interjetés par A______, C______ et D______ contre le jugement JTBL/293/2015 rendu par le Tribunal des baux et loyers le 2 mars 2015 dans la cause C/484/2015-7 SD. Au fond : Les rejette. Confirme le jugement entrepris. Dit que la procédure est gratuite. Siégeant : Madame Pauline ERARD, présidente; Madame Sylvie DROIN, Monsieur Ivo BUETTI, juges; Madame Laurence CRUCHON,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