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ACJC/1289/2024 vom 21. Oktober 2024</w:t>
      </w:r>
    </w:p>
    <w:p>
      <w:r>
        <w:t>GE Cour de justice, 2024-10-21, FR</w:t>
      </w:r>
    </w:p>
    <w:p>
      <w:r>
        <w:rPr>
          <w:b/>
        </w:rPr>
        <w:t xml:space="preserve">Quelle: </w:t>
      </w:r>
      <w:r>
        <w:t>https://mcp.opencaselaw.ch/entscheid/ge_gerichte_ACJC_1289_2024</w:t>
      </w:r>
    </w:p>
    <w:p>
      <w:r>
        <w:t>FR: GE_GERICHTE ACJC/1289/2024 du 21 octobre 2024</w:t>
      </w:r>
    </w:p>
    <w:p>
      <w:r>
        <w:t>IT: GE_GERICHTE ACJC/1289/2024 del 21 ottobre 2024</w:t>
      </w:r>
    </w:p>
    <w:p>
      <w:pPr>
        <w:pStyle w:val="Heading2"/>
      </w:pPr>
      <w:r>
        <w:t>Erwägungen</w:t>
      </w:r>
    </w:p>
    <w:p>
      <w:r>
        <w:rPr>
          <w:b/>
        </w:rPr>
        <w:t>E. 1</w:t>
      </w:r>
    </w:p>
    <w:p>
      <w:r>
        <w:t>L'appel est recevable contre les décisions finales de première instance (art. 308 al. 1 let. a CPC), dans les causes patrimoniales dont la valeur litigieuse, au dernier état des conclusions de première instance, est supérieure à 10'000 fr. (art. 308 al. 2 CPC).</w:t>
      </w:r>
    </w:p>
    <w:p>
      <w:r>
        <w:t>- 6/11 -</w:t>
      </w:r>
    </w:p>
    <w:p>
      <w:r>
        <w:t>C/26692/2023</w:t>
      </w:r>
    </w:p>
    <w:p>
      <w:r>
        <w:rPr>
          <w:b/>
        </w:rPr>
        <w:t>E. 1.1</w:t>
      </w:r>
    </w:p>
    <w:p>
      <w:r>
        <w:t>En l'espèce, seule est discutée, au fond, la question du partage de la prévoyance professionnelle, en complément du jugement de divorce prononcé au Portugal entre les parties, de sorte qu'il s'agit d'une affaire pécuniaire. Compte tenu des montants restés litigieux devant le premier juge, la valeur litigieuse est supérieure à 10'000 fr. de sorte que la voie de l'appel est ouverte. En cas de divorce prononcé sur requête commune, l'art. 289 CPC prévoit que la décision de divorce ne peut faire l'objet que d'un appel pour vice du consentement. Cette disposition ne limite cependant les griefs admissibles en appel qu'au sujet du prononcé du divorce lui-même. Les effets du divorce en revanche, même résultant d'une convention des parties ou de conclusions communes ratifiées, peuvent être contestés en deuxième instance selon les règles ordinaires (TAPPY, Commentaire romand, Code de procédure civile, 2ème éd. 2019, n. 7 ad art. 289 CPC). S'il est possible d'appeler ou de recourir selon les règles ordinaires sur tous les effets du divorce, réglés d'un commun accord ou non, la portée de cette possibilité varie selon le type d'effets dont il s'agit et selon qu'on se trouve dans un divorce sur requête commune avec accord complet ou non. Ainsi, en cas de procédure sur requête commune avec accord partiel, des voies de droit avec pouvoirs de cognition ordinaires doivent permettre de contester la décision sur les points sur lesquels il n'y a eu aucune entente des parties (TAPPY, op. cit., n. 15 ad art. 289 CPC). S'agissant des effets du divorce réglés d'un commun accord, au contraire, un appel ou un recours sont possibles, mais seulement pour faire vérifier que les conditions pour ratifier la convention des parties et prononcer le divorce étaient réunies. Il ne s'agit pas pour l'autorité d'appel ou de recours de réexaminer et le cas échéant modifier les effets en question selon sa propre appréciation. La juridiction de deuxième instance peut en revanche substituer à celle du premier juge sa propre appréciation sur l'admissibilité de l'accord des parties en refaisant les contrôles de la convention requis par l'art. 279 CPC, d'intensité variable selon les questions. Ainsi, outre un vice de consentement, elle peut tenir compte d'une impossibilité ou d'une illégalité du partage des prestations de sortie, ou d'une iniquité manifeste de la convention sur la liquidation du régime matrimonial ou les contributions d'entretien entre époux (TAPPY, op. cit., n. 16 ad art. 289 CPC). Déposé dans le délai utile et selon la forme prescrite par la loi (art. 130 al. 1, 131, 142 al. 1 et 3 et 311 al. 1 CPC), l'appel est recevable.</w:t>
      </w:r>
    </w:p>
    <w:p>
      <w:r>
        <w:rPr>
          <w:b/>
        </w:rPr>
        <w:t>E. 1.2</w:t>
      </w:r>
    </w:p>
    <w:p>
      <w:r>
        <w:t>Le juge établit les faits d'office pour toutes les questions qui touchent à la prévoyance professionnelle (art. 277 al. 3 CPC), étant précisé que la maxime d'office et la maxime inquisitoire ne s'imposent cependant que devant le premier juge (arrêts du Tribunal fédéral 5A_18/2018 du 16 mars 2018 consid. 6; 5A_862/2012 du 30 mai 2013 consid. 5.3.2 et 5.3.3). En seconde instance, les maximes des débats et de disposition ainsi que l'interdiction de la reformatio in pejus sont applicables (ATF 129 III 481 consid. 3.3; arrêt du Tribunal fédéral 5A_478/2016 du 10 mars 2017 consid. 10.1 et les références citées).</w:t>
      </w:r>
    </w:p>
    <w:p>
      <w:r>
        <w:t>- 7/11 -</w:t>
      </w:r>
    </w:p>
    <w:p>
      <w:r>
        <w:t>C/26692/2023</w:t>
      </w:r>
    </w:p>
    <w:p>
      <w:r>
        <w:rPr>
          <w:b/>
        </w:rPr>
        <w:t>E. 2</w:t>
      </w:r>
    </w:p>
    <w:p>
      <w:r>
        <w:t>A raison, la compétence des juridictions genevoises pour connaître du litige (art. 64 al 1bis LDIP) n'est pas remise en cause, ni l'application du droit suisse (art. 64 al. 2 LDIP).</w:t>
      </w:r>
    </w:p>
    <w:p>
      <w:r>
        <w:rPr>
          <w:b/>
        </w:rPr>
        <w:t>E. 3</w:t>
      </w:r>
    </w:p>
    <w:p>
      <w:r>
        <w:t>L'appelante fait valoir à juste titre que la date du divorce (correctement alléguée dans la requête en conformité des pièces produites comme étant le 9 août 2022) a été erronément retenue par le premier juge, qui l'a confondue avec celle (24 mars 2022) de la signature de la convention homologuée dans la décision de divorce. Fondé sur une constatation arbitraire des faits, le chiffre 1 du dispositif du jugement entrepris sera en conséquence réformé pour tenir compte de la date correcte du prononcé du divorce, soit le 9 août 2022.</w:t>
      </w:r>
    </w:p>
    <w:p>
      <w:r>
        <w:rPr>
          <w:b/>
        </w:rPr>
        <w:t>E. 4</w:t>
      </w:r>
    </w:p>
    <w:p>
      <w:r>
        <w:t>L'appelante fait grief au premier juge d'avoir violé la maxime inquisitoire atténuée s'agissant de la question du partage de la prévoyance professionnelle.</w:t>
      </w:r>
    </w:p>
    <w:p>
      <w:r>
        <w:rPr>
          <w:b/>
        </w:rPr>
        <w:t>E. 4.1</w:t>
      </w:r>
    </w:p>
    <w:p>
      <w:r>
        <w:t>L'art. 123 al. 1 CC prévoit que les prestations de sortie acquises, y compris les avoirs de libre passage et les versements anticipés pour la propriété du logement, sont partagées par moitié. Le montant à partager correspond, pour chacun des conjoints, à la différence entre la prestation de sortie augmentée des éventuels avoirs de libre passage existant au jour de l'introduction de la procédure de divorce, et la prestation de sortie augmentées des avoirs de libre passage existant éventuellement au moment de la conclusion du mariage (art. 22a al. 1 LFLP, auquel renvoie l'art. 123 al. 3 CC).</w:t>
      </w:r>
    </w:p>
    <w:p>
      <w:r>
        <w:rPr>
          <w:b/>
        </w:rPr>
        <w:t>E. 4.2</w:t>
      </w:r>
    </w:p>
    <w:p>
      <w:r>
        <w:t>L'art. 277 al. 3 CPC consacre la maxime inquisitoire (atténuée) "dans le reste de la procédure" : le tribunal constate ainsi d'office les faits concernant les aspects du divorce non visés à l'alinéa 1 et non traités ailleurs dans le CPC de manière spécifique, à savoir notamment les questions qui touchent à la prévoyance professionnelle. A ce dernier égard, il s'agit néanmoins de souligner que cette maxime ne s'impose qu'au juge de première instance et sur la problématique particulière du partage de la prévoyance professionnelle au sens des art. 122 ss CC (arrêt du Tribunal fédéral 5A_882/2022 du 19 octobre 2023 consid. 3.2).</w:t>
      </w:r>
    </w:p>
    <w:p>
      <w:r>
        <w:rPr>
          <w:b/>
        </w:rPr>
        <w:t>E. 4.3</w:t>
      </w:r>
    </w:p>
    <w:p>
      <w:r>
        <w:t>En l'occurrence, le Tribunal a, en application de la maxime inquisitoire qui s'imposait, interpellé notamment la Caisse de prévoyance F______, en lui adressant des questions précises. Il n'a obtenu de celle-ci que des réponses lacunaires et imprécises à ses questions (cf. en particulier les question et réponse n° 3). Ces réponses sont en tout état insuffisantes pour procéder au partage des avoirs de prévoyance en application des art. 123 al. 3 CPC et 22a al. 2 LFLP. Il appartenait dès lors au premier juge de ne pas se contenter de celles-ci, et de poursuivre ses investigations sur ce point, aux fins d'obtenir toutes les données nécessaires.</w:t>
      </w:r>
    </w:p>
    <w:p>
      <w:r>
        <w:t>- 8/11 -</w:t>
      </w:r>
    </w:p>
    <w:p>
      <w:r>
        <w:t>C/26692/2023 Il s'impose donc d'annuler les chiffres 6 et 10 du dispositif du jugement. La cause sera renvoyée au Tribunal pour qu'il complète l'instruction, dans le respect du droit d'être entendu des parties, et statue à nouveau sur ce point.</w:t>
      </w:r>
    </w:p>
    <w:p>
      <w:r>
        <w:rPr>
          <w:b/>
        </w:rPr>
        <w:t>E. 5</w:t>
      </w:r>
    </w:p>
    <w:p>
      <w:r>
        <w:t>L'appelante, tout en admettant la répartition des frais telle que fixée au chiffre 8 du dispositif du jugement, se plaint de ce que le premier juge n'a pas pris en considération la circonstance qu'elle avait seule procédé à l'avance de frais requise des parties.</w:t>
      </w:r>
    </w:p>
    <w:p>
      <w:r>
        <w:rPr>
          <w:b/>
        </w:rPr>
        <w:t>E. 5.1</w:t>
      </w:r>
    </w:p>
    <w:p>
      <w:r>
        <w:t>L'art. 98 CPC prévoit que le tribunal peut exiger du demandeur une avance à concurrence de la totalité des frais judiciaires présumés. Les frais judiciaires sont fixés et répartis d'office (art. 105 al. 1 CPC). Selon l'art. 106 al. 3 CPC, lorsque plusieurs personnes participent au procès en tant que parties principales ou accessoires, le tribunal détermine la part de chacune aux frais du procès. Il peut les tenir pour solidairement responsables. Si des consorts sont demandeurs, le tribunal fixe la part d'avance de frais à verser par chacun, cas échéant solidairement par application analogique de l'art. 106 al. 3 CPC (STOUDMANN, Petit Commentaire CPC, 2021, ad art. 98 n. 7). La partie à qui incombe la charge des frais restitue à l'autre partie les avances que celle-ci a fournies et lui verse les dépens qui lui ont été alloués (art. 111 al. 2 CPC).</w:t>
      </w:r>
    </w:p>
    <w:p>
      <w:r>
        <w:rPr>
          <w:b/>
        </w:rPr>
        <w:t>E. 5.2</w:t>
      </w:r>
    </w:p>
    <w:p>
      <w:r>
        <w:t>En l'espèce, il est constant que le Tribunal a requis solidairement des parties le paiement d'une avance de frais et que celle-ci a effectivement été versée par l'appelante seule. Les parties n'ont pris aucune conclusion sur le sort des frais de la procédure dans leur requête, et ne se sont pas exprimées sur ce point à l'audience du Tribunal. Le chiffre 8 du dispositif du jugement n'est donc pas fondé; il n'est toutefois pas remis en cause par les parties, de sorte qu'il n'y sera pas revenu. S'agissant du règlement final des frais, les considérants du jugement sont muets. Le chiffre 9 du dispositif du jugement statue, contre le dossier, que l'avance de frais aurait été fournie par "les parties". L'intimé aurait dû être condamné à verser 300 fr. à l'appelante, en tant qu'il lui avait été donné acte d'un accord (supposé, mais non remis en cause en appel comme retenu ci-dessus) de supporter par moitié les frais de la procédure, fixés à 600 fr. et compensés avec l'avance versée par l'appelante.</w:t>
      </w:r>
    </w:p>
    <w:p>
      <w:r>
        <w:t>- 9/11 -</w:t>
      </w:r>
    </w:p>
    <w:p>
      <w:r>
        <w:t>C/26692/2023 Dès lors, le chiffre 9 du dispositif du jugement sera annulé. Il reviendra au Tribunal, dans le cadre de la nouvelle décision à rendre, de statuer de façon complète et précise sur le sort des frais de la procédure.</w:t>
      </w:r>
    </w:p>
    <w:p>
      <w:r>
        <w:rPr>
          <w:b/>
        </w:rPr>
        <w:t>E. 6</w:t>
      </w:r>
    </w:p>
    <w:p>
      <w:r>
        <w:t>Compte tenu des circonstances particulières d'espèce, les frais judiciaires de la procédure d'appel, arrêtés à 1'000 fr. (art. 29 et 35 RTFMC), seront mis à la charge de l'Etat de Genève (art. 107 al. 1 let. f CPC). L'avance versée par l'appelante lui sera restituée. L'intimé, qui succombe (art. 106 al. 1 CPC), versera à l'appelante 600 fr. à titre de dépens d'appel (art. 84, 85, 90 RTFMC), compte tenu des difficultés relatives des questions soumises à la Cour et de la brièveté de l'acte d'appel. * * * * *</w:t>
      </w:r>
    </w:p>
    <w:p>
      <w:r>
        <w:t>- 10/11 -</w:t>
      </w:r>
    </w:p>
    <w:p>
      <w:r>
        <w:t>C/26692/2023 PAR CES MOTIFS, La Chambre civile : A la forme : Déclare recevable l'appel interjeté le 15 juillet 2024 par A______ contre les chiffres 1, 6, 9 et 10 du dispositif du jugement JTPI/7390/2024 rendu le 14 juin 2024 par le Tribunal de première instance dans la cause C/26692/2023. Au fond : Modifie le chiffre 1 du dispositif de ce jugement, en ce sens qu'est prononcé l'exequatur du jugement de divorce rendu par le Conservatoire du registre civil de H______, Portugal, le ______ août 2022, entre B______ et A______. Annule les chiffres 6, 9 et 10 du dispositif de ce jugement. Renvoie la cause au Tribunal de première instance pour instruction complémentaire et nouvelle décision sur ces points. Déboute les parties de toute autre conclusion d'appel. Sur les frais : Arrête les frais judiciaires de l'appel à 1'000 fr., compensés avec l'avance effectuée, et les met à la charge de l'Etat de Genève. Invite les Services financiers du Pouvoir judiciaire à restituer 1'000 fr. à A______. Condamne B______ à verser à A______ 600 fr. à titre de dépens d'appel. Siégeant : Madame Nathalie RAPP, présidente; Madame Sylvie DROIN, Monsieur Jean REYMOND, juges; Madame Jessica ATHMOUNI, greffière.</w:t>
      </w:r>
    </w:p>
    <w:p>
      <w:r>
        <w:t>- 11/11 -</w:t>
      </w:r>
    </w:p>
    <w:p>
      <w:r>
        <w:t>C/26692/2023</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