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ACJC/1289/2022 vom 4. Oktober 2022</w:t>
      </w:r>
    </w:p>
    <w:p>
      <w:r>
        <w:t>GE Cour de justice, 2022-10-04, FR</w:t>
      </w:r>
    </w:p>
    <w:p>
      <w:r>
        <w:rPr>
          <w:b/>
        </w:rPr>
        <w:t xml:space="preserve">Quelle: </w:t>
      </w:r>
      <w:r>
        <w:t>https://mcp.opencaselaw.ch/entscheid/ge_gerichte_ACJC_1289_2022</w:t>
      </w:r>
    </w:p>
    <w:p>
      <w:r>
        <w:t>FR: GE_GERICHTE ACJC/1289/2022 du 4 octobre 2022</w:t>
      </w:r>
    </w:p>
    <w:p>
      <w:r>
        <w:t>IT: GE_GERICHTE ACJC/1289/2022 del 4 ottobre 2022</w:t>
      </w:r>
    </w:p>
    <w:p>
      <w:pPr>
        <w:pStyle w:val="Heading2"/>
      </w:pPr>
      <w:r>
        <w:t>Erwägungen</w:t>
      </w:r>
    </w:p>
    <w:p>
      <w:r>
        <w:rPr>
          <w:b/>
        </w:rPr>
        <w:t>E. 1.1</w:t>
      </w:r>
    </w:p>
    <w:p>
      <w:r>
        <w:t>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est supérieure à 10'000 fr. Il est donc recevable.</w:t>
      </w:r>
    </w:p>
    <w:p>
      <w:r>
        <w:t>- 7/11 -</w:t>
      </w:r>
    </w:p>
    <w:p>
      <w:r>
        <w:t>C/2322/2021</w:t>
      </w:r>
    </w:p>
    <w:p>
      <w:r>
        <w:rPr>
          <w:b/>
        </w:rPr>
        <w:t>E. 1.3</w:t>
      </w:r>
    </w:p>
    <w:p>
      <w:r>
        <w:t>La Cour revoit la cause avec un plein pouvoir d'examen en fait et en droit (art. 310 CPC). Sa cognition est cependant limitée à la simple vraisemblance des faits et à un examen sommaire du droit, dans la mesure où les mesures protectrices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w:t>
      </w:r>
    </w:p>
    <w:p>
      <w:r>
        <w:rPr>
          <w:b/>
        </w:rPr>
        <w:t>E. 2</w:t>
      </w:r>
    </w:p>
    <w:p>
      <w:r>
        <w:t>L'appelant a produit des pièces nouvelles.</w:t>
      </w:r>
    </w:p>
    <w:p>
      <w:r>
        <w:rPr>
          <w:b/>
        </w:rPr>
        <w:t>E. 2.1</w:t>
      </w:r>
    </w:p>
    <w:p>
      <w:r>
        <w:t>L'art. 317 al. 1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5A_266/2015 du 24 juin 2015 consid. 3.2.2; 5A_695/2012 du 20 mars 2013 consid. 4.2.1).</w:t>
      </w:r>
    </w:p>
    <w:p>
      <w:r>
        <w:rPr>
          <w:b/>
        </w:rPr>
        <w:t>E. 2.2</w:t>
      </w:r>
    </w:p>
    <w:p>
      <w:r>
        <w:t>En l'espèce, le certificat médical du 5 mai 2022 a été établi après que la cause a été gardée à juger par le Tribunal. Il est donc recevable, car porte sur l'état de santé de l'appelant à cette date, de sorte qu'il n'aurait pas pu être versé à la procédure plus tôt, comme le soutient l'intimée. Les autres pièces sont irrecevables, car elles auraient pu être produites devant le Tribunal et l'appelant n'expose pas ce qui l'en aurait empêché. Toutes ces pièces ne sont en tout état pas déterminantes pour la solution du litige.</w:t>
      </w:r>
    </w:p>
    <w:p>
      <w:r>
        <w:rPr>
          <w:b/>
        </w:rPr>
        <w:t>E. 3</w:t>
      </w:r>
    </w:p>
    <w:p>
      <w:r>
        <w:t>L'appelant reproche au Tribunal d'avoir alloué une contribution d'entretien à l'intimée. Le premier juge aurait dû appliquer les principes du divorce à la cause, la reprise de la vie commune n'étant pas envisageable. Il aurait dû exiger des deux époux qu'ils puisent dans leur fortune respective pour assurer leur entretien.</w:t>
      </w:r>
    </w:p>
    <w:p>
      <w:r>
        <w:t>L'intimée plaide que la contribution d'entretien doit être fixée en application de l'art. 163 CC. L'appelant a refusé de collaborer à l'établissement de sa situation financière, de sorte que les allégations de l'intimée à cet égard pouvaient être retenues. Même à admettre que l'appelant serait dans l'incapacité de travailler, celui-ci réalisait des revenus.</w:t>
      </w:r>
    </w:p>
    <w:p>
      <w:r>
        <w:t>3.1.1 Lorsque le juge constate que la suspension de la vie commune est fondée, il fixe la contribution pécuniaire à verser par une partie à l'autre (art. 176 al. 1 ch. 1 CC).</w:t>
      </w:r>
    </w:p>
    <w:p>
      <w:r>
        <w:t>- 8/11 -</w:t>
      </w:r>
    </w:p>
    <w:p>
      <w:r>
        <w:t>C/2322/2021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ensuite prendre en considération qu'en cas de suspension de cette communauté, le but de l'art. 163 CC, à savoir l'entretien convenable de la famille, impose à chacun des époux de participer, tant que dure le mariage, selon ses facultés, aux frais supplémentaires qu'engendre la vie séparée, notamment par la reprise ou l'augmentation de son activité lucrative. Si la situation financière des époux le permet encore, le standard de vie antérieur, choisi d'un commun accord, doit être maintenu pour les deux parties. Quand il n'est pas possible de conserver ce niveau de vie, les époux ont droit à un train de vie semblable. En revanche, le juge des mesures protectrices ne doit pas trancher, même sous l'angle de la vraisemblance, les questions de fond, objet du procès en divorce, en particulier celle de savoir si le mariage a influencé concrètement la situation financière du conjoint (ATF 137 III 385 consid. 3.1; arrêts du Tribunal fédéral 5A_267/2018 du</w:t>
      </w:r>
    </w:p>
    <w:p>
      <w:r>
        <w:rPr>
          <w:b/>
        </w:rPr>
        <w:t>E. 5</w:t>
      </w:r>
    </w:p>
    <w:p>
      <w:r>
        <w:t>juillet 2018 consid. 5.1.1; 5A_904/2015 du 29 septembre 2016 consid. 5.1). Pour fixer la contribution d'entretien, le revenu de la fortune est pris en considération au même titre que le revenu provenant de l'exercice d'une activité lucrative (ATF 117 II 16 consid. 1b; arrêts du Tribunal fédéral 5A_376/2020 du 22 octobre 2020, consid. 3.3.2; 5A_690/2019 du 23 juin 2020 consid. 3.3.1 et les références; 5A_744/2019 du 7 avril 2020 consid. 3.3).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147 III 393 consid. 6.1.1; ATF 138 III 289 consid. 11.1.2; 134 III 581 consid. 3.3; 129 III 7 consid. 3.1.2; arrêts du Tribunal fédéral 5A_405/2019 du 24 février 2020 consid. 4.1; 5A_608/2019 du 16 janvier 2020 consid. 4.2.1 et les références; 5A_524/2017 du</w:t>
      </w:r>
    </w:p>
    <w:p>
      <w:r>
        <w:rPr>
          <w:b/>
        </w:rPr>
        <w:t>E. 9</w:t>
      </w:r>
    </w:p>
    <w:p>
      <w:r>
        <w:t>octobre 2017 consid. 5.1.3; 5A_170/2016 du 1er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6.1.4; ATF 129 III 7 consid. 3.1.2; arrêts 5A_405/2019 précité consid. 4.1; 5A_608/2019 précité consid. 4.2.1; 5A_170/2016 précité consid. 4.3.5; 5A_136/2016 du 12 septembre 2016 consid. 3).</w:t>
      </w:r>
    </w:p>
    <w:p>
      <w:r>
        <w:t>- 9/11 -</w:t>
      </w:r>
    </w:p>
    <w:p>
      <w:r>
        <w:t>C/2322/2021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5A_608/2019 précité consid. 4.2.1; 5A_524/2017 précité consid. 5.1.3; 5A_170/2016 précité consid. 4.3.5; 5A_25/2015 du 5 mai 2015 consid. 3.2). Selon l'importance de la fortune du débirentier qui n'a pas d'activité lucrative et dont le revenu de la fortune ne permet pas de couvrir l'entretien du couple, la substance des avoirs peut être entamée pour assurer au crédirentier la couverture du minimum vital élargi, de l'entretien convenable, respectivement du train de vie antérieur (ATF 147 III 393 consid. 6.1.6 et les références citées). Pour respecter le principe d'égalité entre les époux, on ne saurait exiger d'un conjoint qu'il entame sa fortune que si on impose à l'autre d'en faire autant, à moins qu'il n'en soit dépourvu (ATF 147 III 393 consid. 6.1.2; arrêts 5A_405/2019 précité consid. 4.1; 5A_608/2019 précité consid. 4.2.1; 5A_170/2016 précité consid. 4.3.5). 3.1.2 Si une partie refuse de collaborer sans motif valable, le tribunal en tient compte lors de l'appréciation des preuves (art. 164 CPC). Cette dernière disposition ne donne toutefois aucune instruction s'agissant des conséquences que le tribunal doit tirer du refus de collaborer dans l'appréciation des preuves. Il n'est en particulier pas prescrit que le tribunal doit automatiquement conclure à la véracité de l'état de fait présenté par la partie adverse; il s'agit bien plus de traiter le refus injustifié de collaborer comme un élément parmi d'autres à prendre en compte dans la libre appréciation des preuves (art. 157 CPC; ATF 140 III 264 consid. 2.3; arrêt du Tribunal fédéral 5A_651/2014 du 27 janvier 2015 consid. 2.1). Lorsqu'un époux manque à son devoir de collaboration, en renseignant avec peine le juge sur sa situation économique, celui-ci peut sans arbitraire se limiter à une estimation du revenu tiré de l'activité constatée (arrêt du Tribunal fédéral 5A_81/2011 du 23 septembre 2011 consid. 6.1.3). 3.2.1 En l'espèce, contrairement à ce que tente de soutenir l'appelant, la contribution d'entretien due à l'intimée doit être fixée à la lumière de l'art. 163 CC, quand bien même une reprise de la vie commune n'est pas envisageable. 3.2.2 L'appelant n'a fourni que peu d'éléments sur sa situation financière, en particulier sur les honoraires perçus en lien avec ses nombreux mandats d'administrateur, alléguant une charge fiscale peu compatible avec des revenus</w:t>
      </w:r>
    </w:p>
    <w:p>
      <w:r>
        <w:t>- 10/11 -</w:t>
      </w:r>
    </w:p>
    <w:p>
      <w:r>
        <w:t>C/2322/2021 prétendument limités à une rente AVS et un revenu locatif. Il a cependant admis disposer d'une fortune importante et allégué assumer des charges mensuelles de l'ordre de 26'000 fr. C'est ainsi à bon droit, à tout le moins sous l'angle de la vraisemblance, que le Tribunal a retenu que celui-ci était en mesure d'assurer le maintien du train de vie des deux époux, en dépit de la séparation, sans qu'il soit nécessaire de se prononcer de manière détaillée sur ses revenus et charges effectifs. Il n'est pas contesté que durant la vie commune l'appelant assurait à l'intimée un train de vie très confortable. Celui-ci n'a pas rendu vraisemblable que la péjoration de son état de santé aurait eu une influence déterminante à cet égard. Le montant des charges de l'intimée retenu par le Tribunal ne souffre pas la critique, au vu des différents éléments ressortant du dossier, en particulier la mise à disposition de l'intimée d'une carte de crédit en sus de la couverture de ses charges courantes par l'appelant. Compte tenu de la contribution d'entretien arrêtée, la charge fiscale que l'appelant voudrait voir retenue n'est pas vraisemblable et le montant estimé par le Tribunal à ce titre est vraisemblable. Dans la mesure où le Tribunal a justement considéré que le train de vie allégué par l'intimée était vraisemblablement inférieur à celui effectivement mené durant la vie commune, il peut être retenu que celle-ci devra également puiser dans ses économies pour maintenir ce dernier, et qu'ainsi le principe d'égalité est respecté. Le grief de l'appelant sur ce point tombe dès lors également à faux. En conclusion, le jugement sera confirmé. 4. L'appelant, qui succombe (art. 106 al. 1 CPC), sera condamné aux frais de la procédure d'appel, arrêtés à 1'200 fr., compensés avec l'avance fournie, acquise à l'Etat de Genève (art. 111 al. 1 CPC).</w:t>
      </w:r>
    </w:p>
    <w:p>
      <w:r>
        <w:t>Il sera en outre condamné à verser à l'intimée la somme de 2'000 fr. à titre de dépens d'appel (art. 84, 85, 88 et 90 RTFMC; art. 23, 25 et 26 LaCC). * * * * *</w:t>
      </w:r>
    </w:p>
    <w:p>
      <w:r>
        <w:t>- 11/11 -</w:t>
      </w:r>
    </w:p>
    <w:p>
      <w:r>
        <w:t>C/2322/2021 PAR CES MOTIFS, La Chambre civile : A la forme : Déclare recevable l'appel interjeté le 5 mai 2022 par A______ contre le jugement JTPI/4794/2022 rendu le 25 avril 2022 par le Tribunal de première instance dans la cause C/2322/2021-15. Au fond : Confirme ce jugement. Déboute les parties de toutes autres conclusions. Sur les frais : Arrête les frais judiciaires d'appel à 1'200 fr., les met à la charge de A______ et dit qu'ils sont compensés avec l'avance fournie, acquise à l'Etat de Genève. Condamne A______ à verser à B______ la somme de 2'000 fr. à titre de dépens d'appel. Siégeant : Madame Pauline ERARD, présidente; Madame Nathalie LANDRY-BARTHE, Madame Paola CAMPOMAGNANI, juges; Madame Sandra CARRIER, greffière.</w:t>
      </w:r>
    </w:p>
    <w:p>
      <w:r>
        <w:t>La présidente : Pauline ERARD</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