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ACJC/1289/2011 vom 26. Mai 2011</w:t>
      </w:r>
    </w:p>
    <w:p>
      <w:r>
        <w:t>GE Cour de justice, 2011-05-26, FR</w:t>
      </w:r>
    </w:p>
    <w:p>
      <w:r>
        <w:rPr>
          <w:b/>
        </w:rPr>
        <w:t xml:space="preserve">Quelle: </w:t>
      </w:r>
      <w:r>
        <w:t>https://mcp.opencaselaw.ch/entscheid/ge_gerichte_ACJC_1289_2011</w:t>
      </w:r>
    </w:p>
    <w:p>
      <w:r>
        <w:t>FR: GE_GERICHTE ACJC/1289/2011 du 26 mai 2011</w:t>
      </w:r>
    </w:p>
    <w:p>
      <w:r>
        <w:t>IT: GE_GERICHTE ACJC/1289/2011 del 26 maggio 2011</w:t>
      </w:r>
    </w:p>
    <w:p>
      <w:pPr>
        <w:pStyle w:val="Heading2"/>
      </w:pPr>
      <w:r>
        <w:t>Regeste</w:t>
      </w:r>
    </w:p>
    <w:p>
      <w:r>
        <w:t>Résumé: Le contrat de direction des travaux obéit aux règles du mandat. Dans le cadre d'un contrat de mandat, le seul envoi d'une note d'honoraires, même non contestée pendant un certain temps, ne vaut pas reconnaissance de dette. La mainlevée provisoire peut être accordée sur la base d'un contrat bilatéral tant que le débiteur ne prétend pas, dans la procédure de mainlevée, que le créancier n'a pas ou n'a pas correctement exécuté sa propre prestation.</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t>- 4/7 -</w:t>
      </w:r>
    </w:p>
    <w:p>
      <w:r>
        <w:t>C/29637/2010</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2.2</w:t>
      </w:r>
    </w:p>
    <w:p>
      <w:r>
        <w:t>Interjeté dans le délai et les formes prévus par la loi, le présent recours est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ATF n.p. 5P 290/2006 du 12.10.2006 consid. 3.1.2).</w:t>
      </w:r>
    </w:p>
    <w:p>
      <w:r>
        <w:rPr>
          <w:b/>
        </w:rPr>
        <w:t>E. 4.2</w:t>
      </w:r>
    </w:p>
    <w:p>
      <w:r>
        <w:t>Un contrat écrit justifie en principe la mainlevée provisoire de l'opposition pour la somme d'argent incombant au poursuivi lorsque les conditions d'exigibilité de la dette sont établies, en particulier, si dans les contrats bilatéraux, le</w:t>
      </w:r>
    </w:p>
    <w:p>
      <w:r>
        <w:t>- 5/7 -</w:t>
      </w:r>
    </w:p>
    <w:p>
      <w:r>
        <w:t>C/29637/2010 poursuivant prouve avoir exécuté les prestations dont dépend l'exigibilité de sa créance (PANCHAUD/CAPREZ, La mainlevée d'opposition, 1980, § 69 p. 168 et ch. 1 et 3; AMONN/WALTHER, Grundriss des Schuldbetreibungs- und Konkursrechts, 7ème éd., § 19 p. 130 n. 77; ATF n.p. SP.171/2005 du 7 octobre 2005 consid. 4.1.1; SCHMIDT, Commentaire romand, Poursuite et faillite, n. 27 ad art. 82 LP). Le contrat de direction des travaux obéit aux règles du mandat (ATF 111 II 72 = JdT 1985 I 589). Dans le cadre d'un contrat de mandat, le seul envoi d'une note d'honoraires, même non contestée pendant un certain temps, ne vaut pas reconnaissance de dette (TF, SJ 1981 429 consid. 4; WERRO, Commentaire romand, 2003, n. 52 ad art. 394 CO; ATF n.p. 5P.290/2006 du 12.10.2006 consid. 3.3; KRAUSKOPF, La mainlevée provisoire : quelques jurisprudences récentes in JdT 2008 II 23, 35). La mainlevée provisoire peut être accordée sur la base d'un contrat bilatéral tant que le débiteur ne prétend pas, dans la procédure de mainlevée, que le créancier n'a pas ou n'a pas correctement exécuté sa propre prestation ( SCHMIDT, op. cit., n. 27 ad art. 82 LP).</w:t>
      </w:r>
    </w:p>
    <w:p>
      <w:r>
        <w:rPr>
          <w:b/>
        </w:rPr>
        <w:t>E. 4.3</w:t>
      </w:r>
    </w:p>
    <w:p>
      <w:r>
        <w:t>En l'espèce, les parties ont conclu un contrat de mandat, portant sur la direction du projet et des travaux de construction de plusieurs immeubles. Elles sont convenues d'une rémunération de 9,5% du coût total des travaux, estimé à 4'000'000 fr. Comme le relève à juste titre la citée, la facture d'honoraires établie le 27 juin 2008 par le recourant ne mentionne aucun destinataire, ni l'affaire concernée. Par ailleurs, cette facture n'a pas été signée par la citée. Dans le bon de paiement no 190 établi le 5 août 2008 par le recourant, celui-ci sollicite expressément le règlement d'un montant de 56'000 fr. En signant ce document, la citée a fait part de son accord de verser la somme sollicitée. Comme l'a retenu à bon droit le premier juge, la mention du montant de la facture finale dans le bon de paiement ne vaut pas reconnaissance de dette, dès lors que la facture finale n'a fait l'objet d'aucune acceptation expresse de la citée. Le recourant n'a pas allégué avoir établi un autre bon de paiement, pour le solde de la facture finale. De plus, la citée se prévaut de plusieurs défauts affectant les immeubles, soit une mauvaise exécution de la prestation du recourant. Celui-ci ne dispose dès lors d'aucun titre permettant de prononcer la mainlevée de l'opposition. Le jugement querellé ne prête dès lors pas flanc à la critique. Le recours sera ainsi rejeté.</w:t>
      </w:r>
    </w:p>
    <w:p>
      <w:r>
        <w:rPr>
          <w:b/>
        </w:rPr>
        <w:t>E. 5</w:t>
      </w:r>
    </w:p>
    <w:p>
      <w:r>
        <w:t>Le recourant qui succombe sera condamné aux frais (art. 106 al. 1 et 3 CPC).</w:t>
      </w:r>
    </w:p>
    <w:p>
      <w:r>
        <w:t>- 6/7 -</w:t>
      </w:r>
    </w:p>
    <w:p>
      <w:r>
        <w:t>C/29637/2010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750 fr. et mis à la charge du recourant, compensé avec l'avance de frais opérée par celui-ci (art. 111 CPC). La citée ayant comparu en personne, aucun dépens ne sera alloué.</w:t>
      </w:r>
    </w:p>
    <w:p>
      <w:r>
        <w:rPr>
          <w:b/>
        </w:rPr>
        <w:t>E. 6</w:t>
      </w:r>
    </w:p>
    <w:p>
      <w:r>
        <w:t>La valeur litigieuse, au sens de l'art. 51 LTF, est supérieure à 30'000 fr. * * * * *</w:t>
      </w:r>
    </w:p>
    <w:p>
      <w:r>
        <w:t>- 7/7 -</w:t>
      </w:r>
    </w:p>
    <w:p>
      <w:r>
        <w:t>C/29637/2010 PAR CES MOTIFS, La Chambre civile : A la forme : Déclare recevable le recours interjeté par A_______ contre le jugement JTPI/9168/2011 rendu le 26 mai 2011 par le Tribunal de première instance dans la cause C/29637/2010- JS SS. Au fond : Le rejette. Arrête les frais judiciaires à 750 fr. et les met à charge du A_______. Dit que les frais judiciaires sont couverts par l'avance de frais opérée par A_______. Dit qu'il n'est pas alloué de dépens. Déboute les parties de toutes autres conclusions. Siégeant : Monsieur Pierre CURTIN, président; Madame Nathalie LANDRY-BARTHE et Monsieur Jean-Marc STRUBIN, juges; Madame Fatina SCHAERER, greffier.</w:t>
      </w:r>
    </w:p>
    <w:p>
      <w:r>
        <w:t>Le président : Pierre CURTIN</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