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ACJC/1287/2017 vom 6. Oktober 2017</w:t>
      </w:r>
    </w:p>
    <w:p>
      <w:r>
        <w:t>GE Cour de justice, 2017-10-06, FR</w:t>
      </w:r>
    </w:p>
    <w:p>
      <w:r>
        <w:rPr>
          <w:b/>
        </w:rPr>
        <w:t xml:space="preserve">Quelle: </w:t>
      </w:r>
      <w:r>
        <w:t>https://mcp.opencaselaw.ch/entscheid/ge_gerichte_ACJC_1287_2017</w:t>
      </w:r>
    </w:p>
    <w:p>
      <w:r>
        <w:t>FR: GE_GERICHTE ACJC/1287/2017 du 6 octobre 2017</w:t>
      </w:r>
    </w:p>
    <w:p>
      <w:r>
        <w:t>IT: GE_GERICHTE ACJC/1287/2017 del 6 ottobre 2017</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- 5/10 -</w:t>
      </w:r>
    </w:p>
    <w:p>
      <w:r>
        <w:t>C/25197/2016</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(art. 130, 131 et 142 al. 3 CPC), le recours est en l'espèce recevable.</w:t>
      </w:r>
    </w:p>
    <w:p>
      <w:r>
        <w:rPr>
          <w:b/>
        </w:rPr>
        <w:t>E. 1.2</w:t>
      </w:r>
    </w:p>
    <w:p>
      <w:r>
        <w:t>La cognition de la Cour est limitée à la violation du droit et à la constatation manifestement inexacte des faits (art. 320 CPC).</w:t>
      </w:r>
    </w:p>
    <w:p>
      <w:r>
        <w:rPr>
          <w:b/>
        </w:rPr>
        <w:t>E. 1.3</w:t>
      </w:r>
    </w:p>
    <w:p>
      <w:r>
        <w:t>La procédure sommaire est applicable (art. 251 let. a CPC).</w:t>
      </w:r>
    </w:p>
    <w:p>
      <w:r>
        <w:rPr>
          <w:b/>
        </w:rPr>
        <w:t>E. 2</w:t>
      </w:r>
    </w:p>
    <w:p>
      <w:r>
        <w:t>La recourante se plaint d'une violation des art. 82 et 271 al. 1 ch. 4 LP. Le contrat du 31 janvier 2013 ne constituait pas un titre de mainlevée provisoire à son encontre, dès lors qu'elle ne l'avait pas signé et n'y était pas partie.</w:t>
      </w:r>
    </w:p>
    <w:p>
      <w:r>
        <w:rPr>
          <w:b/>
        </w:rPr>
        <w:t>E. 2.1</w:t>
      </w:r>
    </w:p>
    <w:p>
      <w:r>
        <w:t>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5A_739/2013 du 19 février 2014 consid. 3; 5A_925/2012 du 5 avril 2013 consid. 9.2 et les références, publié in SJ 2013 I p. 463).</w:t>
      </w:r>
    </w:p>
    <w:p>
      <w:r>
        <w:t>Dans les procédures de ce type, l'étendue du devoir du juge d'établir d'office le droit étranger est controversée. En matière de séquestre plus spécialement, pour</w:t>
      </w:r>
    </w:p>
    <w:p>
      <w:r>
        <w:t>- 6/10 -</w:t>
      </w:r>
    </w:p>
    <w:p>
      <w:r>
        <w:t>C/25197/2016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5A_60/2013 du 27 mai 2013 consid. 3.2.1.2).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5P.77/2002 du 26 mars 2002 consid. 3c).</w:t>
      </w:r>
    </w:p>
    <w:p>
      <w:r>
        <w:rPr>
          <w:b/>
        </w:rPr>
        <w:t>E. 2.2</w:t>
      </w:r>
    </w:p>
    <w:p>
      <w:r>
        <w:t>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Lorsque la reconnaissance de dette est signée par un représentant du débiteur, la mainlevée provisoire dans la poursuite introduite contre le représenté ne peut être prononcée que sur le vu d'une pièce attestant des pouvoirs du représentant (ATF 132 III 140 consid. 4.1.1;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130 III 87 consid. 3.1; arrêt du Tribunal fédéral 5D_17/2015 du 29 mai 2015 consid. 3.2). Ainsi, lorsque le représenté n'est pas désigné, la mainlevée ne peut pas être octroyée (STAEHELIN, in Basler Kommentar, Bundesgesetz über Schuldbetreibung und Konkurs, vol. I, 2ème éd., Bâle 2010, n. 68 ad art. 82 LP; VEUILLET, La mainlevée de l'opposition, Berne 2017, n. 74 ad art. 82).</w:t>
      </w:r>
    </w:p>
    <w:p>
      <w:r>
        <w:t>Une reconnaissance de dette peut découler du rapprochement de plusieurs pièces, pour autant que les éléments nécessaires en résultent (ATF 136 III 627 consid. 2; 132 III 480 consid. 4.1; 122 III 125 consid. 2; ATF 106 III 97 consid. 3; arrêt du Tribunal fédéral 5A_892/2015 du 16 février 2016 consid. 4.3.1). Cela signifie que le document signé doit clairement et directement faire référence, ou renvoyer, aux documents qui mentionnent le montant de la dette ou permettent de le chiffrer (ATF 136 III 627 consid. 2; 132 III 480 consid. 4.1; arrêt 5A_577/2013 du</w:t>
      </w:r>
    </w:p>
    <w:p>
      <w:r>
        <w:rPr>
          <w:b/>
        </w:rPr>
        <w:t>E. 2.3</w:t>
      </w:r>
    </w:p>
    <w:p>
      <w:r>
        <w:t>Lorsque l'un des fondateurs de la société anonyme en formation agit indépendamment et en son nom propre vis-à-vis de l'extérieur, il devient seul créancier et débiteur vis-à-vis de l'extérieur, conformément aux règles de la société simple (art. 543 al. 1 CO; MEIER-HAYOZ/FORSTMOSER/IORDANOV, Droit suisse des sociétés, Berne 2015, n. 622 ad § 16). La société ne peut reprendre les actes accomplis en son nom que selon les règles de la représentation indirecte (art. 32 al. 3 CO; MEIER-HAYOZ/FORSTMOSER/IORDANOV, op. cit., n. 623 ad § 16), soit par une reprise de dette ou une cession de créance. Le fondateur peut aussi agit expressément au nom de la future société anonyme. Dans ce cas, les personnes ayant accompli ces actes répondent personnellement et solidairement (art. 645 al. 1 CO). La société nouvellement créée peut néanmoins assumer les obligations et libérer les personnes contractées en agissant dans les trois mois. La décision appartient au conseil d'administration (art. 645 al. 2 CO; op. cit., n. 626).</w:t>
      </w:r>
    </w:p>
    <w:p>
      <w:r>
        <w:rPr>
          <w:b/>
        </w:rPr>
        <w:t>E. 2.4</w:t>
      </w:r>
    </w:p>
    <w:p>
      <w:r>
        <w:t>En l'espèce, la seule condition au séquestre contestée par la recourante est l'existence d'une reconnaissance de dette au sens de l'art. 271 al. 1 ch. 4 LP. Elle estime qu'elle n'était pas liée par le contrat désigné comme valant reconnaissance de dette par l'intimée, à savoir l'accord du 31 janvier 2013, car il avait été signé par D______ personnellement.</w:t>
      </w:r>
    </w:p>
    <w:p>
      <w:r>
        <w:t>L'intimée considère que la recourante n'était pas constituée au moment de la signature du contrat et que D______ avait donc signé pour la société en constitution, d'autres pièces permettant de confirmer l'existence de la reconnaissance de dette (paiement des honoraires par la recourante, engagement de celle-ci de payer les honoraires et décision du Tribunal de première instance de Dubaï).</w:t>
      </w:r>
    </w:p>
    <w:p>
      <w:r>
        <w:t>In casu, il est incontesté que le contrat du 31 janvier 2013 ne prévoit pas expressément d'obligation à la charge de la recourante, qui n'y est pas partie.</w:t>
      </w:r>
    </w:p>
    <w:p>
      <w:r>
        <w:t>A ce titre, il est vraisemblable que la société a été constituée postérieurement à la signature du contrat, soit au début de février 2013, époque à laquelle le capital- actions a été libéré par D______.</w:t>
      </w:r>
    </w:p>
    <w:p>
      <w:r>
        <w:t>L'intimée prétend que D______ aurait signé en qualité de représentant de la société à constituer, ce qui liait cette dernière. Cependant, le contrat ne contient aucune mention d'une telle représentation. La société n'a pas non plus ratifié après coup d'éventuels engagements pris en son nom, même par actes concluants. En particulier, s'agissant du prétendu paiement des honoraires par la recourante, il ressort des pièces que ce paiement est intervenu en devise émiratie, alors que le contrat prévoyait des sommes en dollars américains, que la recourante a versé le montant non pas à l'intimée, mais à son actionnaire unique et que le motif du</w:t>
      </w:r>
    </w:p>
    <w:p>
      <w:r>
        <w:t>- 8/10 -</w:t>
      </w:r>
    </w:p>
    <w:p>
      <w:r>
        <w:t>C/25197/2016 versement n'est pas connu. Quoi qu'il en soit, ce paiement ne démontre aucune volonté de la recourante de s'engager à verser quelque montant que ce soit à l'intimée sur la base du contrat du 31 janvier 2013.</w:t>
      </w:r>
    </w:p>
    <w:p>
      <w:r>
        <w:t>L'intimée n'a fourni aucune information au regard du droit étranger applicable au contrat qui permettrait de conclure qu'une disposition, s'écartant des principes prévus par le droit suisse, existerait selon laquelle l'engagement pris par le futur actionnaire d'une société serait automatiquement transféré à ladite société une fois qu'elle est constituée. Ainsi, l'application du droit suisse, justifiée par l'urgence de la cause et l'absence d'allégué quant au droit étranger, conduit à la conclusion que la recourante n'était pas liée par l'engagement pris par son fondateur agissant en nom propre, faute de reprise de dette subséquente ou d'une quelconque décision du conseil d'administration en ce sens.</w:t>
      </w:r>
    </w:p>
    <w:p>
      <w:r>
        <w:t>La décision de première instance des juridictions de Dubaï, contestée par un recours pendant, qui retient l'existence de cet engagement solidaire, ne peut pas suppléer à l'absence d'explication sur les normes de droit étranger applicables. Certes, la reconnaissance de dette peut résulter de l'existence de plusieurs documents, mais encore faut-il qu'ils soient en rapport les uns avec les autres et signés par le débiteur. Ici, le jugement invoqué émane d'une juridiction étatique. À ce titre, il pourrait être reconnu en Suisse, une fois entré en force, ce qui n'est pas le cas, et être éventuellement considéré comme un titre de mainlevée définitive. Il ne constitue cependant pas un engagement signé de l'intimée de verser une certaine somme, celle-ci s'étant d'ailleurs opposée à la demande en paiement. Ainsi, cette décision n'est pas de nature à constituer une reconnaissance de dette au sens des art. 271 al. 1 ch. 4 et 82 al. 1 LP.</w:t>
      </w:r>
    </w:p>
    <w:p>
      <w:r>
        <w:t>Enfin, les deux courriers des 30 septembre 2013 et 20 novembre 2014 auxquels se réfère l'intimée ne contiennent pas d'engagement de la recourante à payer. En effet, il y est clairement fait référence à un paiement à effectuer par D______, la recourante ne prenant aucun engagement en son nom propre.</w:t>
      </w:r>
    </w:p>
    <w:p>
      <w:r>
        <w:t>Ainsi, en définitive, l'intimée ne pouvait pas se prévaloir, à titre de cas de séquestre, d'une reconnaissance de dette au sens de l'art. 271 al. 1 ch. 4 LP, dont l'existence n'a pas été rendue vraisemblable, puisque la recourante n'était pas liée par le contrat du 31 janvier 2013.</w:t>
      </w:r>
    </w:p>
    <w:p>
      <w:r>
        <w:t>Aucun autre cas de séquestre n'est plaidé, ni rendu vraisemblable.</w:t>
      </w:r>
    </w:p>
    <w:p>
      <w:r>
        <w:t>L'opposition sera donc admise et le séquestré levé. 3. L'intimée, qui succombe, supportera les frais de première instance et de recours, en vertu du principe général qu'il convient d'appliquer en l'espèce (art. 106 al. 1 CPC).</w:t>
      </w:r>
    </w:p>
    <w:p>
      <w:r>
        <w:t>- 9/10 -</w:t>
      </w:r>
    </w:p>
    <w:p>
      <w:r>
        <w:t>C/25197/2016</w:t>
      </w:r>
    </w:p>
    <w:p>
      <w:r>
        <w:t>Les frais judiciaires seront fixés à 6'000 fr. au total (4'000 fr. pour la première instance et 2'000 fr. pour la seconde instance) (art. 105 al. 1 CPC, art. 48 et 61 al. 1 OELP). Ils seront compensés par les avances de frais effectuées par B______ et A______, soit 2'000 fr, respectivement 4'000 fr. (art. 111 al. 1 CPC), qui restent acquises à l'Etat de Genève.</w:t>
      </w:r>
    </w:p>
    <w:p>
      <w:r>
        <w:t>L'intimée devra, dès lors, restituer à la recourante la somme de 4'000 fr. (art. 111 al. 2 CPC).</w:t>
      </w:r>
    </w:p>
    <w:p>
      <w:r>
        <w:t>Pour les motifs précités, l'intimée sera en outre condamnée à verser la somme de 6'000 fr. à la recourante à titre de dépens des deux instances (art. 105 al. 2, 106 al. 1, 111 al. 2 CPC, art. 85 et 90 RTFMC), soit 3'000 fr. pour la première instance - montant non remis en cause et conforme à la loi - et 3'000 fr. pour la seconde instance, étant donné la relative difficulté de la cause. * * * * *</w:t>
      </w:r>
    </w:p>
    <w:p>
      <w:r>
        <w:t>- 10/10 -</w:t>
      </w:r>
    </w:p>
    <w:p>
      <w:r>
        <w:t>C/25197/2016 PAR CES MOTIFS, La Chambre civile : A la forme : Déclare recevable le recours interjeté par A______ contre le jugement OSQ/21/2017 rendu le 26 juin 2017 par le Tribunal de première instance dans la cause C/25197/2016-4 SQP. Au fond : Annule ce jugement et, cela fait, statuant à nouveau : Annule le séquestre n° 1______ ordonné le 22 décembre 2016 à la requête de B______ à l'encontre de A______. Ordonne à l'Office des poursuites de Genève de lever ledit séquestre. Déboute les parties de toutes autres conclusions. Sur les frais : Arrête les frais judiciaires des deux instances à 6'000 fr., les met à la charge de B______ et dit qu'ils sont compensés par les avances de frais versées par les parties, qui restent acquises à l'Etat de Genève. Condamne B______ à payer à A______ la somme de 4'000 fr. versée par celle-ci à titre d'avance de frais des deux instances. Condamne B______ à payer la somme de 6'000 fr. à A______ à titre de dépens pour les deux instances.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octobre 2013 consid. 4.2.1).</w:t>
      </w:r>
    </w:p>
    <w:p>
      <w:r>
        <w:t>Le juge doit vérifier d'office l'identité entre le poursuivant et le créancier désigné dans le titre invoqué à l'appui de la mainlevée provisoire, l'identité entre le poursuivi et le débiteur désigné et l'identité entre la prétention déduite en</w:t>
      </w:r>
    </w:p>
    <w:p>
      <w:r>
        <w:t>- 7/10 -</w:t>
      </w:r>
    </w:p>
    <w:p>
      <w:r>
        <w:t>C/25197/2016 poursuite et la dette reconnue (ATF 142 III 720 consid. 4.1 et 139 III 444 consid. 4.1.1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