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ACJC/1284/2025 vom 25. September 2025</w:t>
      </w:r>
    </w:p>
    <w:p>
      <w:r>
        <w:t>GE Cour de justice, 2025-09-25, FR</w:t>
      </w:r>
    </w:p>
    <w:p>
      <w:r>
        <w:rPr>
          <w:b/>
        </w:rPr>
        <w:t xml:space="preserve">Quelle: </w:t>
      </w:r>
      <w:r>
        <w:t>https://mcp.opencaselaw.ch/entscheid/ge_gerichte_ACJC_1284_2025</w:t>
      </w:r>
    </w:p>
    <w:p>
      <w:r>
        <w:t>FR: GE_GERICHTE ACJC/1284/2025 du 25 septembre 2025</w:t>
      </w:r>
    </w:p>
    <w:p>
      <w:r>
        <w:t>IT: GE_GERICHTE ACJC/1284/2025 del 25 settembre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dont la valeur litigieuse au dernier état des conclusions devant l'autorité inférieure est supérieure à 10'000 fr. (art. 308 al. 1 let. a et al. 2 CPC). En l'espèce, en appel le litige porte exclusivement sur la contribution à l'entretien de l'épouse, soit une affaire de nature pécuniaire (arrêt du Tribunal fédéral 5A_344/2022 du 31 août 2022 consid. 1). Compte tenu des conclusions prises à ce titre par les parties devant l'instance inférieure, la valeur litigieuse est supérieure à 10'000 fr. (art. 92 al. 2 CPC). La voie de l'appel est dès lors ouverte.</w:t>
      </w:r>
    </w:p>
    <w:p>
      <w:r>
        <w:rPr>
          <w:b/>
        </w:rPr>
        <w:t>E. 2.2</w:t>
      </w:r>
    </w:p>
    <w:p>
      <w:r>
        <w:t>Interjeté dans le délai utile de trente jours dès la notification du jugement et suivant la forme prescrite par la loi (art. 130, 131 et 311 al. 1 CPC), l'appel est recevable. La réponse est également recevable (art. 313 al. 1 CPC), ainsi que les mémoires de réplique et de duplique, et les écritures spontanées, déposés par les parties.</w:t>
      </w:r>
    </w:p>
    <w:p>
      <w:r>
        <w:rPr>
          <w:b/>
        </w:rPr>
        <w:t>E. 2.3</w:t>
      </w:r>
    </w:p>
    <w:p>
      <w:r>
        <w:t>La Cour revoit la cause avec un plein pouvoir d'examen en fait et en droit (art. 310 CPC). En particulier, elle contrôle librement l'appréciation des preuves</w:t>
      </w:r>
    </w:p>
    <w:p>
      <w:r>
        <w:t>- 9/17 -</w:t>
      </w:r>
    </w:p>
    <w:p>
      <w:r>
        <w:t>C/27/2023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2.4</w:t>
      </w:r>
    </w:p>
    <w:p>
      <w:r>
        <w:t>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5A_451/2024 du 18 mars 2025 consid. 4.3.1).</w:t>
      </w:r>
    </w:p>
    <w:p>
      <w:r>
        <w:rPr>
          <w:b/>
        </w:rPr>
        <w:t>E. 3</w:t>
      </w:r>
    </w:p>
    <w:p>
      <w:r>
        <w:t>juillet 2025 consid. 4.3).</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("echte Noven"), la condition de nouveauté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arrêt du Tribunal fédéral 5A_187/2025 du</w:t>
      </w:r>
    </w:p>
    <w:p>
      <w:r>
        <w:rPr>
          <w:b/>
        </w:rPr>
        <w:t>E. 3.2</w:t>
      </w:r>
    </w:p>
    <w:p>
      <w:r>
        <w:t>En l'espèce, l'échange de messages annexé à l'écriture de l'appelant du 25 mars 2025 est recevable dès lors qu'il se rapporte à un fait nouveau, soit la maternité de l'intimée intervenue après que le Tribunal ait gardé la cause à juger. Les autres pièces produites par les parties sont irrecevables car elles se rapportent à des faits survenus, pour peu qu'ils soient datés, avant que le Tribunal ait gardé la cause à juger, et que les parties n'expliquent pas pourquoi elles n'auraient pas été en mesure de les produire devant le Tribunal, étant relevé que les informations provenant de l'Office cantonal de la population ne constituent pas des faits notoires dès lors qu'elles ne sont pas librement accessibles (art. 59 Ordonnance sur l'état civil ; RS 211.112.2).</w:t>
      </w:r>
    </w:p>
    <w:p>
      <w:r>
        <w:t>- 10/17 -</w:t>
      </w:r>
    </w:p>
    <w:p>
      <w:r>
        <w:t>C/27/2023 Par ailleurs, tous les faits nouveaux, allégués par les parties pour la première fois en appel et qui ne reposent sur aucun moyen de preuve nouveau valablement produit devant la Cour, sont irrecevables.</w:t>
      </w:r>
    </w:p>
    <w:p>
      <w:r>
        <w:rPr>
          <w:b/>
        </w:rPr>
        <w:t>E. 4</w:t>
      </w:r>
    </w:p>
    <w:p>
      <w:r>
        <w:t>L'appelant reproche au Tribunal d'avoir mal établi les revenus et les charges de l'intimée et d'avoir considéré que le mariage avait été "lebensprägende". 4.1.1 Aux termes de l'art. 125 al. 1 et 2 CC,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4.1.2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arrêt du Tribunal fédéral 5A_136/2024 du 12 juin 2025 consid. 5.1 et les arrêts cités). Autrement dit, elles n'ont pas de valeur absolue et doivent être relativisées (ATF 148 III 161 consid. 4.2; arrêt du Tribunal fédéral 5A_136/2024 du 12 juin 2025 consid. 5.1 et les arrêts cités). Un mariage doit en tout cas être considéré comme ayant marqué</w:t>
      </w:r>
    </w:p>
    <w:p>
      <w:r>
        <w:t>- 11/17 -</w:t>
      </w:r>
    </w:p>
    <w:p>
      <w:r>
        <w:t>C/27/2023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arrêt du Tribunal fédéral 5A_389/2023 du 6 novembre 2024 consid. 3.2.1).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du Tribunal fédéral 5A_389/2023 du</w:t>
      </w:r>
    </w:p>
    <w:p>
      <w:r>
        <w:rPr>
          <w:b/>
        </w:rPr>
        <w:t>E. 6</w:t>
      </w:r>
    </w:p>
    <w:p>
      <w:r>
        <w:t>novembre 2024 consid. 3.2.2 et les arrêts cités). 4.1.3 Pour arrêter les contributions en droit de la famille, il y a lieu de se fonder sur la méthode en deux étapes avec répartition de l'excédent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4.1.4 Dans le calcul des ressources des parties, il n'y a pas lieu de tenir compte de l'aide perçue de l'assistance publique, y compris des prestations complémentaires (arrêts du Tribunal fédéral 5A_836/2021 du 29 août 2022 consid. 4.3 et les arrêts cités), dans la mesure où l'aide sociale est subsidiaire par rapport aux obligations d'entretien du droit de la famille (arrêt du Tribunal fédéral 5A_158/2010 du 25 mars 2010 consid. 3.2).</w:t>
      </w:r>
    </w:p>
    <w:p>
      <w:r>
        <w:t>- 12/17 -</w:t>
      </w:r>
    </w:p>
    <w:p>
      <w:r>
        <w:t>C/27/2023 Le subside de l'assurance maladie ne constitue pas de l'aide sociale (ACJC/273/2025 du 25 février 2025 consid. 3.1.5; ACJC/914/2022 du 28 juin 2022 consid. 4.4; ACJC/172/2019 du 5 février 2019 consid. 2.2). 4.1.5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ainsi que les dépenses de prévoyance privée des travailleurs indépendants.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4.1.6 L'entretien convenable doit être déterminé après avoir constaté le niveau de vie des époux pendant le mariage (respectivement pendant la séparation si celle-ci a duré dix ans environ), lequel constitue la limite supérieure de l'entretien (ATF 147 III 293 consid. 4.4; 141 III 465 consid. 3.1; 137 III 102 consid. 4.2.1.1). Le niveau de vie déterminant est le dernier mené ensemble par les époux, auquel s'ajoutent les dépenses supplémentaires qu'entraîne l'existence de deux ménages séparés (ATF 135 III 158 consid. 4.3; 134 III 577 consid. 8; 134 III 145 consid. 4). Lorsque l'union conjugale a durablement marqué de son empreinte la situation de l'époux bénéficiaire,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(art. 125 al. 2 ch. 3 CC) (arrêt du Tribunal fédéral 5A_187/2025 du 3 juillet 2025 consid. 3.1 et les arrêts cités).</w:t>
      </w:r>
    </w:p>
    <w:p>
      <w:r>
        <w:t>- 13/17 -</w:t>
      </w:r>
    </w:p>
    <w:p>
      <w:r>
        <w:t>C/27/2023 Il appartient au débirentier de rendre vraisemblable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de l'époque pour des charges similaires ou qu'une épargne était réalisée du temps de la vie commune (ATF 147 III 293 consid. 4.4; arrêt du Tribunal fédéral 5A_143/2024 du 11 septembre 2024 consid. 6). 4.2.1 En l'espèce, c'est à juste titre que le Tribunal n'a pas tenu compte des aides perçues par l'intimée du Service des prestations complémentaires dès lors qu'il s'agit d'une aide sociale subsidiaire aux contributions dues à l'entretien de la famille (cf. supra. 4.1.4). Par ailleurs, l'intimée ne perçoit pas de rente invalidité de la part de sa caisse de prévoyance professionnelle de sorte que le partage des avoirs de prévoyance professionnelle ordonné par le Tribunal n'engendrera pas une augmentation des revenus de l'intimée avant l'âge de la retraite, le montant rente invalidité versée par la Caisse cantonale de compensation dépendant uniquement du taux d'invalidité de l'intimée. Par conséquent, c'est à juste titre que le premier juge a retenu que l'intimée disposait d'un revenu mensuel de 1'960 fr. par mois. 4.2.2 Dans son acte d'appel, l'appelant n'a pas contesté le jugement en tant qu'il retenait qu'il n'était pas avéré que l'intimée vivait en concubinage. Ce n'est qu'en apprenant la grossesse de l'intimée que l'appelant a, à nouveau, fait valoir que celle-ci vivrait avec le père des enfants à naître. Or, le fait que l'intimée et H______ deviennent parents ne suffit pas à retenir que ceux-ci vivent sous le même toit. Si l'intimée a évoqué le fait que le père des jumeaux puisse un jour habiter avec elle, il n'a pas été prouvé que tel est déjà le cas aujourd'hui. Par ailleurs, dans la mesure où le premier juge a, compte tenu des revenus cumulés des parties, tenu compte du minimum vital selon le droit de la famille, et non de celui du droit des poursuites, ce que l'appelant ne conteste pas, c'est à juste titre qu'il a inclus les frais médicaux non couverts et la prime d'assurance-ménage dans les charges de l'intimée. L'appelant considère que le loyer de 2'900 fr. (sic) de l'intimée est excessif par rapport au montant de sa rente. Cela étant, dans ses calculs l'appelant a repris le montant de 1'610 fr. par mois arrêté par le Tribunal et correspondant au 70% du loyer de l'intimée, qui est en réalité de 2'300 fr. par mois. En outre, le logement qu'occupe l'intimée est l'ancien domicile conjugal, de sorte qu'on ne peut lui reprocher d'avoir souscrit un bail avec un loyer trop élevé et il serait difficile à</w:t>
      </w:r>
    </w:p>
    <w:p>
      <w:r>
        <w:t>- 14/17 -</w:t>
      </w:r>
    </w:p>
    <w:p>
      <w:r>
        <w:t>C/27/2023 l'intimée de trouver un logement avec un loyer plus bas mais suffisamment spacieux pour y loger ses quatre enfants. A juste titre, l'appelant fait valoir que les frais de transport de l'intimée ne dépassaient pas 33 fr. par mois, compte tenu du fait que le coût de l'abonnement annuel pour les personnes invalides était de 400 fr. par année. Depuis le 1er janvier 2025, ces frais sont même limités à 200 fr. par année, l'Etat de Genève ayant accordé une réduction de moitié du coût des frais de transport aux personnes invalides. Par conséquent, les frais de transport de l'intimée seront limités à 17 fr. par mois (200 fr. / 12) dès le 1er janvier 2025. Même si l'aide-ménagère que dit employer l'intimée n'est pas déclarée, cela ne l'empêchait pas de produire une déclaration de son employée faisant état de ses heures de travail. Le jugement doit donc être confirmé en tant qu'il écarte des charges de l'intimée les frais liés à l'intervention d'une femme de ménage. Enfin, si les traitements médicaux spéciaux avaient été indispensables, le médecin de l'intimée ne se serait pas limité à certifier de leur nécessité a posteriori, vraisemblablement pour les besoins de la présente cause, mais il aurait prescrit ces soins en amont, de façon à ce qu'ils soient couverts par l'assurance-maladie complémentaire de l'intimée. Le jugement doit donc être confirmé en tant qu'il écarte ces charges. En tout état, dans la mesure où l'intimée a sollicité la confirmation du jugement, le fait d'admettre ces charges ne saurait avoir pour conséquence de lui allouer une contribution d'entretien plus élevée. Compte tenu de ce qui précède, les charges mensuelles de l'intimée s'élevaient au montant arrondi de 3'237 fr. (3'274 fr. – 70 fr. + 33 fr.) en novembre et décembre 2024 et de 3'221 fr. (3'274 fr. – 70 fr. + 17 fr.) dès janvier 2025. Son déficit mensuel était ainsi de 1'277 fr. (1'960 fr. – 3'237 fr.) en 2024 et de 1'261 fr. (1'960 fr. – 3'221 fr.) en 2025. 4.2.3 A juste titre le premier juge a retenu que le mariage avait eu un impact sur la situation de l'intimée dès lors qu'il est établi que celle-ci a diminué son taux d'activité pour s'occuper des enfants. Il résulte en effet de l'extrait de compte individuel de l'intimée auprès de la [caisse de compensation] Q______ qu'elle a travaillé pour un revenu assuré d'environ 6'320 fr. par mois avant la naissance du premier enfant des parties, qu'après la naissance de C______ en ______ 2010, ses revenus ont diminué pour s'établir à environ 4'380 fr., soit 70% de son revenu précédent, et que son revenu a encore diminué après la naissance de D______ en ______ 2015 à 3'350 fr., correspondant à ses indemnités maternité, avant qu'elle ne cesse de travailler à l'issue de son congé maternité, quelques mois avant d'être reconnue invalide. Rien ne permet de retenir que l'intimée n'a pas pris en charge les enfants ses jours de congé, l'enfant étant vraisemblablement placé à la crèche lorsqu'elle travaillait,</w:t>
      </w:r>
    </w:p>
    <w:p>
      <w:r>
        <w:t>- 15/17 -</w:t>
      </w:r>
    </w:p>
    <w:p>
      <w:r>
        <w:t>C/27/2023 étant relevé que l'appelant n'a pas prouvé s'en être occupé pendant les mois où les parties ont temporairement vécu séparées, l'intimée alléguant pour sa part que les enfants avaient passé la quasi-totalité du temps auprès d'elle et de leur grand-mère à l'étage du dessous. Par ailleurs, l'appelant ne critique pas valablement le jugement en tant qu'il a retenu que l'intimée avait renoncé à une contribution à son propre entretien sur mesures protectrices de l'union conjugale parce que l'appelant s'était engagé à verser une contribution de 1'400 fr. par mois à chacun des enfants qui permettait à l'intimée de couvrir son déficit personnel. L'appelant se limite à répéter que l'intimée n'ayant pas réclamé de contribution à son entretien sur mesures protectrices de l'union conjugale, elle ne peut en réclamer une post-divorce et fait valoir avoir proposé une contribution d'entretien plus limitée à l'entretien des enfants en raison de leur garde alternée. Or, lors du prononcé du jugement sur mesures protectrices de l'union conjugale, les parties exerçaient déjà une garde partagée. Au vu de ce qui précède, c'est à juste titre que le premier juge a retenu que le mariage avait eu un impact sur la situation de l'intimée de sorte que celle-ci, devenue invalide du temps de la vie commune, peut prétendre à une contribution à son entretien post-divorce en vertu de la solidarité. 4.2.4 L'appelant reproche au Tribunal d'avoir partagé son excédent au regard de son revenu actuel (12'786 fr.) alors que celui du temps de la vie commune était inférieur de 2'000 fr. par mois (10'829 fr.). Or, selon son certificat de salaire 2021, son revenu était de 12'537 fr. En outre, du temps de la vie commune, les charges des parties étaient également inférieures, puisque l'appelant n'avait pas à s'acquitter d'un loyer propre, qui s'élève à 2'900 fr. par mois. Enfin, le premier juge a tenu compte du fait que l'appelant s'acquittait de dettes contractées postérieurement à la séparation – prenant ainsi en considération la particularité du cas d'espèce comme le prescrit la jurisprudence – avant de répartir l'excédent de l'appelant, raison pour laquelle il a échelonné le montant de la contribution à l'entretien de l'intimée. Il s'agit à nouveau d'une charge qui n'existait pas du temps de la vie commune, de sorte que les époux devaient mener un train de vie supérieur. Par conséquent, l'appelant échoue à démontrer que les contributions d'entretien fixées par le Tribunal permettraient à l'intimée de bénéficier d'un train de vie supérieur à celui des époux durant la vie commune. 4.2.5 Compte tenu du fait que le seul reproche justifié de l'appelant à l'égard du raisonnement du Tribunal concernant la contribution à l'entretien de l'intimée tient dans le fait que les frais de transport de celle-ci ne sont pas de 70 fr. par mois mais de 17 fr. par mois, soit une différence de 53 fr. par mois, mais compte tenu du fait</w:t>
      </w:r>
    </w:p>
    <w:p>
      <w:r>
        <w:t>- 16/17 -</w:t>
      </w:r>
    </w:p>
    <w:p>
      <w:r>
        <w:t>C/27/2023 que l'excédent de l'appelant se trouverait augmenté de 53 fr. par mois, et que l'intimée aurait droit à un supplément de 18 fr. (53 fr. / 3) au titre du partage de celui-ci, il existe finalement une différence de 35 fr. (17 fr. + 18 fr. – 70 fr.) par rapport aux calculs opérés par le Tribunal. Compte tenu du caractère modeste de ce montant, il n'y a pas lieu de s'écarter des montants des contributions d'entretien arrondies fixées par le Tribunal à 2'300 fr. jusqu'au mois de décembre 2024, 2'450 fr. de janvier 2025 à mars 2028, puis de 2'580 fr. d'avril 2028 jusqu'à ce que l'appelant atteigne l'âge légal AVS de la retraite. L'appelant sera donc débouté de ses conclusions et le jugement querellé confirmé. 5. Les frais judiciaires de la procédure d'appel seront fixés à 1'500 fr. (art. 30 et 35 RTFMC), mis à la charge de l'appelant, qui succombe (art. 106 al. 1 CPC), et compensés avec l'avance de 1'000 fr. fournie par ce dernier, laquelle demeure acquise à l'Etat de Genève (art. 111 al. 1 CPC). Il sera dès lors condamné à verser 500 fr. aux Services financiers du Pouvoir judiciaire. L'appelant sera, en outre, condamné à verser à l'intimée 2'000 fr., débours et TVA compris, à titre de dépens d'appel (art. 84 et 90 RTFMC; art. 25 et 26 LaCC). * * * * *</w:t>
      </w:r>
    </w:p>
    <w:p>
      <w:r>
        <w:t>- 17/17 -</w:t>
      </w:r>
    </w:p>
    <w:p>
      <w:r>
        <w:t>C/27/2023 PAR CES MOTIFS, La Chambre civile : A la forme : Déclare recevable l'appel interjeté le 16 décembre 2024 par A______ contre le jugement JTPI/14224/2024 rendu le 12 novembre 2024 par le Tribunal de première instance dans la cause C/27/2023. Au fond : Confirme ce jugement. Déboute les parties de toute autre conclusion. Sur les frais : Arrête les frais judiciaires d'appel à 1'500 fr., les met à charge de A______ et dit qu'ils sont partiellement compensés par l'avance de frais fournie par ce dernier, qui reste acquise à l'Etat de Genève. Condamne A______ à verser aux Services financiers du Pouvoir judiciaire 500 fr. à titre de solde de frais judiciaires d'appel. Condamne A______ à verser à B______ 2'000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