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ACJC/1283/2025 vom 24. September 2025</w:t>
      </w:r>
    </w:p>
    <w:p>
      <w:r>
        <w:t>GE Cour de justice, 2025-09-24, FR</w:t>
      </w:r>
    </w:p>
    <w:p>
      <w:r>
        <w:rPr>
          <w:b/>
        </w:rPr>
        <w:t xml:space="preserve">Quelle: </w:t>
      </w:r>
      <w:r>
        <w:t>https://mcp.opencaselaw.ch/entscheid/ge_gerichte_ACJC_1283_2025</w:t>
      </w:r>
    </w:p>
    <w:p>
      <w:r>
        <w:t>FR: GE_GERICHTE ACJC/1283/2025 du 24 septembre 2025</w:t>
      </w:r>
    </w:p>
    <w:p>
      <w:r>
        <w:t>IT: GE_GERICHTE ACJC/1283/2025 del 24 settembre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attaqué constitue une décision finale rendue dans une cause patrimoniale dont la valeur litigieuse est supérieure à 10'000 fr., de sorte que la voie de l'appel est ouverte (art. 308 al. 1 let. a et al. 2 CPC). Interjeté dans le délai utile et selon la forme prescrite par la loi (art. 130, 131, 142 al. 1 et 3 et 311 al. 1 CPC), l'appel est recevable.</w:t>
      </w:r>
    </w:p>
    <w:p>
      <w:r>
        <w:rPr>
          <w:b/>
        </w:rPr>
        <w:t>E. 1.3</w:t>
      </w:r>
    </w:p>
    <w:p>
      <w:r>
        <w:t>La Cour revoit la cause avec un plein pouvoir d'examen en fait et en droit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valeur litigieuse étant supérieure à 30'000 fr., la procédure ordinaire s'applique (art. 219 et art. 243 CPC) et le procès est soumis aux maximes des débats et de disposition (art. 55 al. 1 CPC, art. 247 al. 2 let. b ch. 2 CPC a contrario et art. 58 CPC).</w:t>
      </w:r>
    </w:p>
    <w:p>
      <w:r>
        <w:rPr>
          <w:b/>
        </w:rPr>
        <w:t>E. 2</w:t>
      </w:r>
    </w:p>
    <w:p>
      <w:r>
        <w:t>L'intimé a produit une pièce nouvelle devant la Cour.</w:t>
      </w:r>
    </w:p>
    <w:p>
      <w:r>
        <w:rPr>
          <w:b/>
        </w:rPr>
        <w:t>E. 2.1</w:t>
      </w:r>
    </w:p>
    <w:p>
      <w:r>
        <w:t>La Cour examine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w:t>
      </w:r>
    </w:p>
    <w:p>
      <w:r>
        <w:t>- 14/23 -</w:t>
      </w:r>
    </w:p>
    <w:p>
      <w:r>
        <w:t>C/20382/2021 Dans cette phase, la matière du procès doit être fixée de façon définitive, en sorte que le tribunal délibère de la cause sans retard et qu'un jugement puisse être rendu rapidement; il ne doit donc pas être possible de revenir à l'administration des preuves par l'invocation de nova et ainsi de provoquer l'interruption des délibérations (142 III 413 consid. 2.2.3-2.2.6; arrêt du Tribunal fédéral 5A_654/2022 du 21 décembre 2023 consid. 3.1). Toutefois, après avoir communiqué que la cause est en état d'être jugée, la cour d'appel peut décider d'office, en revenant sur son ordonnance d'instruction gardant la cause à juger, de rouvrir la procédure d'administration des preuves pour tenir compte de faits nouveaux, en particulier de vrais nova qui se sont produits subséquemment (ATF 143 III 272 consid. 2.3.2; arrêt du Tribunal fédéral 5A_717/2020 du 2 juin 2021 consid. 4.1).</w:t>
      </w:r>
    </w:p>
    <w:p>
      <w:r>
        <w:rPr>
          <w:b/>
        </w:rPr>
        <w:t>E. 2.2</w:t>
      </w:r>
    </w:p>
    <w:p>
      <w:r>
        <w:t>En l'espèce, la pièce nouvelle, à savoir le dispositif du jugement du Tribunal de police du 21 mai 2025, a été produite le 22 mai 2025, soit après la mise en délibération de la cause le 7 mai 2025. La Cour a néanmoins ordonné deux échanges d'écriture en octroyant des délais aux parties afin de se déterminer consécutivement au dépôt de cette pièce. Elle a donc décidé d'office de rouvrir l'instruction pour tenir compte du prononcé du jugement précité, intervenu moins de quinze jours après la clôture des débats (vrai nova). Le choix de la Cour d'ouvrir à nouveau la procédure probatoire a entraîné l'annulation de sa précédente décision de mettre la cause en délibération. Par conséquent, la pièce nouvelle sera déclarée recevable. Il sera toutefois rappelé que le juge civil n'est pas lié par les constatations factuelles et l’appréciation des preuves faites par le juge pénal (art. 53 CO; ATF 125 III 401 consid. 3; arrêt du Tribunal fédéral 4A_230/2021 du 7 mars 2022 consid. 2.2)</w:t>
      </w:r>
    </w:p>
    <w:p>
      <w:r>
        <w:rPr>
          <w:b/>
        </w:rPr>
        <w:t>E. 3</w:t>
      </w:r>
    </w:p>
    <w:p>
      <w:r>
        <w:t>L'appelante reproche au Tribunal d'avoir considéré que le licenciement immédiat de l'intimé était injustifié. 3.1.1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les faits invoqués à l'appui d'une résiliation immédiate doivent avoir entraîné la perte du rapport de confiance qui constitue le fondement du</w:t>
      </w:r>
    </w:p>
    <w:p>
      <w:r>
        <w:t>- 15/23 -</w:t>
      </w:r>
    </w:p>
    <w:p>
      <w:r>
        <w:t>C/20382/2021 contrat de travail. En règle générale, seule une violation particulièrement grave des obligations contractuelles peut justifier une telle résiliation; si le manquement est moins grave, il ne peut entraîner une résiliation immédiate que s'il a été répété malgré un avertissement (ATF 142 III 579 consid. 4.2; arrêt du Tribunal fédéral 4A_467/2019 du 22 mars 2022 consid. 4.1). Le juge apprécie librement s'il existe de justes motifs (art. 337 al. 3 CO) et applique les règles du droit et de l'équité (art. 4 CC). A cette fin, il doit notamment tenir compte de tous les éléments du cas particulier, notamment la position et la responsabilité du travailleur, le type et la durée des rapports contractuels, ainsi que la nature et l'importance des incidents invoqués (ATF 137 III 303 consid. 2.1.1; arrêt du Tribunal fédéral 4A_177/2023 du 12 juin 2023 consid. 3.1.3). La durée restant à courir avant la fin du délai de congé ordinaire doit également être prise en compte dans l’appréciation des justes motifs sous l’angle de la bonne foi (ATF 142 III 579 consid. 4.2; arrêt du Tribunal fédéral 4A_288/2016 du 26 septembre 2016 consid. 4.2). Selon l'art. 8 CC, il appartient à la partie qui se prévaut de justes motifs d'une résiliation immédiate d'apporter la preuve de leur existence (ATF 130 III 213 consid. 3.2; arrêt du Tribunal fédéral 4A_169/2016 du 12 septembre 2016 consid. 6.1) 3.1.2 L'infraction pénale commise par le travailleur à l'occasion de son travail, comme un vol commis au préjudice de l'employeur, constitue usuellement un motif de résiliation immédiate (ATF 137 III 303 consid. 2.1.1; DONATIELLO, CR CO I, 2021, n. 10 ad. art. 337). Elle détruit en général le lien de confiance nécessaire aux rapports de travail, indépendamment de la durée de ceux-ci et du montant du dommage subi par l'employeur (WYLER/HEINZER/WITZIG, Droit du travail, 2024, p. 796; GLOOR, Commentaire du contrat de travail, 2022, n. 41 ad art. 337 CO). Selon la jurisprudence, le soupçon d’infraction grave ou de manquement grave peut rendre impossible la continuation des relations de travail et justifier un licenciement avec effet immédiat, quand bien même l'accusation portée contre l'employé se révèle ensuite infondée ou ne peut pas être prouvée (arrêts du Tribunal fédéral 4A_335/2023 du 20 octobre 2023 consid. 4.1.1 et 4A_694/2015 du 4 mai 2016 consid. 2.3). Toutefois, certains éléments excluent généralement le bien-fondé d'un congé-soupçon, soit parce que le manquement ne serait pas suffisamment important pour justifier un congé immédiat, soit parce que l'employeur n'a pas fait tout ce qu'on pouvait exiger de lui pour vérifier les soupçons (arrêts du Tribunal fédéral du 4A_365/2020 du 5 avril 2022, consid. 3.1.2 et 4A_419/2015 du 19 février 2016 consid. 2.1.2).</w:t>
      </w:r>
    </w:p>
    <w:p>
      <w:r>
        <w:t>- 16/23 -</w:t>
      </w:r>
    </w:p>
    <w:p>
      <w:r>
        <w:t>C/20382/2021 Le dépôt d’une plainte pénale par l’employeur et les soupçons sérieux qu’il peut nourrir à l’endroit du travailleur ne constituent pas en tant que tels un motif de renvoi immédiat, car il s’agit de circonstances qui ne dispensent pas celui qui invoque les justes motifs d’établir la réalité objective des faits dont il se prévaut (arrêts du Tribunal fédéral non publiés du 24 avril 1996, dans la cause 4C_247/1995, consid. 2a et du 22 août 1997 dans la cause 4C_543/1996 consid. 2b/bb; WYLER/HEINZER/WITZIG, op. cit., p. 789). Le Tribunal fédéral a admis que,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consid. 4a; ATF 124 III 25 consid. 3c; GLOOR, Le congé-soupçon, 2003, p. 141).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le licenciement immédiat sera généralement considéré comme injustifié, sauf circonstances particulières, notamment lorsque l'employé a empêché la manifestation de la vérité de façon déloyale. C’est donc en principe la situation réelle qui prévaut, quand bien même elle n’est établie que postérieurement à la résiliation des rapports de travail (arrêts du Tribunal fédéral 4A_253/2015 du</w:t>
      </w:r>
    </w:p>
    <w:p>
      <w:r>
        <w:rPr>
          <w:b/>
        </w:rPr>
        <w:t>E. 6</w:t>
      </w:r>
    </w:p>
    <w:p>
      <w:r>
        <w:t>L'appelante considère qu'il n'y a pas lieu de la condamner à remettre un nouveau certificat de travail à l'intimé dès lors qu'elle considère le licenciement immédiat comme étant justifié.</w:t>
      </w:r>
    </w:p>
    <w:p>
      <w:r>
        <w:rPr>
          <w:b/>
        </w:rPr>
        <w:t>E. 6.1</w:t>
      </w:r>
    </w:p>
    <w:p>
      <w:r>
        <w:t>En vertu de l'art. 330a al. 1 CO, le travailleur peut demander en tout temps à l'employeur un certificat portant sur la nature et la durée des rapports de travail, ainsi que sur la qualité de son travail et sa conduite.</w:t>
      </w:r>
    </w:p>
    <w:p>
      <w:r>
        <w:t>Pour ce qui est des appréciations qui supposent nécessairement les indications sur la qualité du travail et la conduite du travailleur, le certificat doit répondre à un certain nombre de principes qui découlent de sa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consid. 4.1; arrêt du Tribunal fédéral 4A_432/2009 du 10 novembre 2009 consid. 3.1).</w:t>
      </w:r>
    </w:p>
    <w:p>
      <w:r>
        <w:t>Le choix de la formulation appartient en principe à l'employeur, conformément au principe de la bonne foi (ATF 144 II 345 consid. 5.2.3; arrêt du Tribunal fédéral 4A_50/2023 du 5 février 2024 consid.6.1.1).</w:t>
      </w:r>
    </w:p>
    <w:p>
      <w:r>
        <w:t>- 22/23 -</w:t>
      </w:r>
    </w:p>
    <w:p>
      <w:r>
        <w:t>C/20382/2021</w:t>
      </w:r>
    </w:p>
    <w:p>
      <w:r>
        <w:t>Le motif de la fin du contrat de travail n’a en principe pas sa place dans un certificat de travail. Selon le Tribunal fédéral, le motif peut toutefois être mentionné s’il est conforme à la réalité et pertinent pour un futur employeur, contribuant ainsi à donner une image complète des prestations et du comportement du travailleur, notamment en cas de comportement propre à rompre la confiance qu’impliquent les rapports de travail dans le cas d’un licenciement immédiat justifié (arrêt du Tribunal fédéral 4A_228/2015 du 29 septembre 2015 consid. 6; ORDOLLI, CR CO I, 2021, n. 23 ad. 330a).</w:t>
      </w:r>
    </w:p>
    <w:p>
      <w:r>
        <w:rPr>
          <w:b/>
        </w:rPr>
        <w:t>E. 6.2</w:t>
      </w:r>
    </w:p>
    <w:p>
      <w:r>
        <w:t>En l'espèce, l'intimé a reçu un certificat de travail daté du 17 août 2021 mentionnant la rupture du lien de confiance, suggérant ainsi un comportement fautif de sa part. Le Tribunal a considéré qu'une telle formulation ne se justifiait pas, d'une part car elle n'était pas de nature à favoriser l'avenir économique de l'intimé et, d'autre part, car il était parvenu à la conclusion que le licenciement immédiat était injustifié. Ce raisonnement doit être suivi dans la mesure où l'appelante n'a pas démontré, à satisfaction de droit, que l'intimé était l'auteur du vol des sachets d'or. Ses soupçons n'étant pas avérés, il n'y a pas lieu de faire figurer la mention de la rupture du lien de confiance dans le certificat de travail.</w:t>
      </w:r>
    </w:p>
    <w:p>
      <w:r>
        <w:t>Partant, le chiffre 6 du jugement entrepris sera confirmé.</w:t>
      </w:r>
    </w:p>
    <w:p>
      <w:r>
        <w:rPr>
          <w:b/>
        </w:rPr>
        <w:t>E. 7.1</w:t>
      </w:r>
    </w:p>
    <w:p>
      <w:r>
        <w:t>Lorsque l'instance d'appel statue à nouveau, elle se prononce sur les frais de première instance (art. 318 al. 3 CPC).</w:t>
      </w:r>
    </w:p>
    <w:p>
      <w:r>
        <w:t>La quotité des frais judiciaires de première instance (200 fr.), fixés conformément aux dispositions légales, n'est pas remise en cause par les parties et sera confirmée. Au vu de l'issue du litige, il se justifie de les laisser à la seule charge de l'appelante.</w:t>
      </w:r>
    </w:p>
    <w:p>
      <w:r>
        <w:t>Il n'est pas alloué de dépens ni d'indemnité pour la représentation en justice dans les causes soumises à la juridiction des prud'hommes (art. 22 al. 2 LaCC), de sorte que le chiffre 11 du dispositif du jugement attaqué sera confirmé.</w:t>
      </w:r>
    </w:p>
    <w:p>
      <w:r>
        <w:rPr>
          <w:b/>
        </w:rPr>
        <w:t>E. 7.2</w:t>
      </w:r>
    </w:p>
    <w:p>
      <w:r>
        <w:t>Lorsque la valeur litigieuse est inférieure à 50'000 fr. devant la Cour de justice, la procédure est gratuite (art. 116 CPC; art. 19 al. 3 let. c LaCC). Aucun frais judiciaire ne sera donc prélevé.</w:t>
      </w:r>
    </w:p>
    <w:p>
      <w:r>
        <w:t>Il ne sera pas alloué de dépens d'appel (art. 22 al. 2 LaCC). * * * * *</w:t>
      </w:r>
    </w:p>
    <w:p>
      <w:r>
        <w:t>- 23/23 -</w:t>
      </w:r>
    </w:p>
    <w:p>
      <w:r>
        <w:t>C/20382/2021</w:t>
      </w:r>
    </w:p>
    <w:p>
      <w:r>
        <w:t>PAR CES MOTIFS, La Chambre des prud'hommes : A la forme : Déclare recevable l'appel interjeté le 9 décembre 2024 par A______ SA contre le jugement JTPH/290/2024 rendu le 6 novembre 2024 par le Tribunal des prud'hommes dans la cause C/20382/2021. Au fond : Annule le chiffre 3 du dispositif du jugement attaqué et, statuant à nouveau sur ce point: Condamne A______ SA à verser à B______ les sommes brutes de 4'304 fr. 53 avec intérêts moratoires au taux de 5% l'an dès le 1er août 2021, 6'389 fr. 40 avec intérêts moratoires au taux de 5% l’an dès le 1er septembre 2021 et 9'815 fr. 75 avec intérêts moratoires au taux de 5% l’an dès le 1er octobre 2021. Confirme le jugement attaqué pour le surplus. Déboute les parties de toutes autres conclusions. Sur les frais d'appel Dit qu'il n'est pas perçu de frais judiciaires d'appel. Dit qu'il n'est pas alloué de dépens. Siégeant : Madame Verena PEDRAZZINI RIZZI, présidente;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