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ACJC/127/2019 vom 25. Januar 2019</w:t>
      </w:r>
    </w:p>
    <w:p>
      <w:r>
        <w:t>GE Cour de justice, 2019-01-25, FR</w:t>
      </w:r>
    </w:p>
    <w:p>
      <w:r>
        <w:rPr>
          <w:b/>
        </w:rPr>
        <w:t xml:space="preserve">Quelle: </w:t>
      </w:r>
      <w:r>
        <w:t>https://mcp.opencaselaw.ch/entscheid/ge_gerichte_ACJC_127_2019</w:t>
      </w:r>
    </w:p>
    <w:p>
      <w:r>
        <w:t>FR: GE_GERICHTE ACJC/127/2019 du 25 janvier 2019</w:t>
      </w:r>
    </w:p>
    <w:p>
      <w:r>
        <w:t>IT: GE_GERICHTE ACJC/127/2019 del 25 gennaio 2019</w:t>
      </w:r>
    </w:p>
    <w:p>
      <w:pPr>
        <w:pStyle w:val="Heading2"/>
      </w:pPr>
      <w:r>
        <w:t>Erwägungen</w:t>
      </w:r>
    </w:p>
    <w:p>
      <w:r>
        <w:rPr>
          <w:b/>
        </w:rPr>
        <w:t>E. 1.1</w:t>
      </w:r>
    </w:p>
    <w:p>
      <w:r>
        <w:t>L'appel est recevable contre les décisions finales de première instance, si la valeur litigieuse au dernier état des conclusions de première instance est de 10'000 fr. au moins (art. 308 al. 1 let. a et al. 2 CPC).</w:t>
      </w:r>
    </w:p>
    <w:p>
      <w:r>
        <w:t>En l'espèce, vu la valeur litigieuse, la voie de l'appel est ouverte.</w:t>
      </w:r>
    </w:p>
    <w:p>
      <w:r>
        <w:t>L'appel a en outre été formé dans le délai et selon les formes légales (art. 257 al. 1 et 314 al. 1 CPC).</w:t>
      </w:r>
    </w:p>
    <w:p>
      <w:r>
        <w:rPr>
          <w:b/>
        </w:rPr>
        <w:t>E. 2</w:t>
      </w:r>
    </w:p>
    <w:p>
      <w:r>
        <w:t>Le Tribunal a considéré que l'état de fait était litigieux car les parties divergeaient sur les montants perçus par l'intimée de l'Administration fiscale. La liquidation des rapports patrimoniaux des époux devait se faire globalement dans le cadre de la procédure de divorce pendante et il n'était pas justifié d'en dissocier certains</w:t>
      </w:r>
    </w:p>
    <w:p>
      <w:r>
        <w:t>- 4/7 -</w:t>
      </w:r>
    </w:p>
    <w:p>
      <w:r>
        <w:t>C/8866/2018 éléments épars dans le contexte d'une procédure séparée. Les conditions d'application de la procédure pour cas clairs n'étaient par conséquent pas réalisées.</w:t>
      </w:r>
    </w:p>
    <w:p>
      <w:r>
        <w:t>L'appelant fait valoir que la preuve de la quotité des montants touchés par l'intimée est établie par les pièces produites. Il allègue, pour la première fois en appel, que "l'AFC a partiellement compensé une créance fiscale contre l'intimée avec le montant de CHF 93'800,70 qui lui était destiné au titre du partage litigieux, de sorte que l'intimée n'a perçu que la différence, tout en bénéficiant du règlement de ses impôts échus au moyen des acomptes provisionnels payés par l'appelant". Elle était par conséquent tenue à rembourser le montant réclamé par l'appelant en application des règles sur l'enrichissement illégitime. L'intimée avait en tout état de cause admis avoir reçu indûment 74'564 fr. 45. En outre, la dissolution du régime rétroagissait au jour du dépôt de la demande en divorce (art. 204 al. 2 CC) et la créance litigieuse était née postérieurement à cette date. Il n'était ainsi pas nécessaire de l'inclure dans la liquidation du régime matrimonial des conjoints. Ceux-ci étaient en tout état de cause séparés de biens.</w:t>
      </w:r>
    </w:p>
    <w:p>
      <w:r>
        <w:rPr>
          <w:b/>
        </w:rPr>
        <w:t>E. 2.1</w:t>
      </w:r>
    </w:p>
    <w:p>
      <w:r>
        <w:t>Aux termes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(arrêt du Tribunal fédéral 4A_295/2017 du 25 avril 2018 consid 3.1).</w:t>
      </w:r>
    </w:p>
    <w:p>
      <w:r>
        <w:rPr>
          <w:b/>
        </w:rPr>
        <w:t>E. 2.2</w:t>
      </w:r>
    </w:p>
    <w:p>
      <w:r>
        <w:t>En l'espèce, c'est à juste titre que le Tribunal a retenu que les conditions posées par l'art. 257 CPC n'étaient pas réalisées.</w:t>
      </w:r>
    </w:p>
    <w:p>
      <w:r>
        <w:t>- 5/7 -</w:t>
      </w:r>
    </w:p>
    <w:p>
      <w:r>
        <w:t>C/8866/2018</w:t>
      </w:r>
    </w:p>
    <w:p>
      <w:r>
        <w:t>En effet, contrairement à ce que soutient l'appelant, les pièces qu'il produit n'établissent pas que l'intimée aurait touché un remboursement de 93'800 fr. 70 de l'Administration fiscale. Le décompte du 7 avril 2016 dont il se prévaut indique uniquement qu'il a versé 178'140 fr. d'acomptes provisionnels en 2014 et qu'il devait, au 7 avril 2016, 9'927 fr. 10 au titre de l'impôt fédéral. Son allégation concernant une compensation de créances effectuée par l'Administration fiscale est nouvelle, et irrecevable en application de l'art. 317 CPC. Au demeurant elle n'est étayée par aucun élément de preuve. Si l'intimée a effectivement admis, d'une part, avoir reçu un remboursement de 69'833 fr. 75 de l'Administration fiscale et, d'autre part, qu'un montant de 4'730 fr. 70 a été crédité sur son compte d'impôts, elle n'a, contrairement à ce que prétend l'appelant, pas reconnu que ces paiements étaient indus. Elle a au contraire relevé qu'ils avaient été effectués sur la base des dispositions légales applicables, à savoir les art. 31 al. 2 LPGIP et 10 al. 4 RPGIP. Son allégation sur ce point est confirmée par la teneur des courriers de l'Administration fiscale des 18 et 29 janvier 2018. L'état de fait est ainsi litigieux et n'est pas susceptible d'être immédiatement prouvé. A cela s'ajoute que la situation juridique n'est pas claire. Aucun élément du dossier ne permet à ce stade de retenir que l'intimée, qui le conteste, se serait enrichie aux dépens du recourant au sens de l'art. 62 CO. Comme l'a relevé à bon droit le Tribunal, la question litigieuse in casu ne peut être tranchée indépendamment de celle du règlement des autres dettes et créances des époux résultant de leur mariage. Le grief de l'appelant selon lequel la créance qu'il allègue n'entrerait pas dans la liquidation du régime matrimonial en application de l'art. 204 al. 2 CC tombe à faux, car cette disposition concerne la dissolution du régime de la participation aux acquêts alors que les époux ont adopté le régime de la séparation de biens. Quant à l'ACJC/664/2017 du 9 juin 2017 auquel l'appelant se réfère, il ne lui est d'aucune utilité puisqu'il concerne une question juridique différente, à savoir le prononcé, dans le cadre des mesures protectrices de l'union conjugale, d'une restriction au pouvoir de disposer au sens de l'art. 178 CC. Compte tenu de ce qui précède, le jugement querellé sera confirmé.</w:t>
      </w:r>
    </w:p>
    <w:p>
      <w:r>
        <w:rPr>
          <w:b/>
        </w:rPr>
        <w:t>E. 3</w:t>
      </w:r>
    </w:p>
    <w:p>
      <w:r>
        <w:t>L'appelant, qui succombe, sera condamné aux frais (art. 106 al. 1 CPC). Les frais judiciaires seront arrêtés à 1'000 fr. et compensés avec l'avance versée par l'appelant, acquise à l'Etat de Genève (art. 26 et 35 RTFMC; 111 al. 1 CPC).</w:t>
      </w:r>
    </w:p>
    <w:p>
      <w:r>
        <w:t>- 6/7 -</w:t>
      </w:r>
    </w:p>
    <w:p>
      <w:r>
        <w:t>C/8866/2018 Les dépens dus à l'intimée seront fixés à 2'500 fr. débours et TVA inclus (art. 85, 88 et 90 RTFMC; 25 et 28 LaCC). * * * * *</w:t>
      </w:r>
    </w:p>
    <w:p>
      <w:r>
        <w:t>- 7/7 -</w:t>
      </w:r>
    </w:p>
    <w:p>
      <w:r>
        <w:t>C/8866/2018 PAR CES MOTIFS, La Chambre civile : A la forme : Déclare recevable l'appel interjeté par A______ contre le jugement JTPI/16301/2018 rendu le 17 octobre 2018 par le Tribunal de première instance dans la cause C/8866/2018-19 SCC. Au fond : Confirme le jugement querellé. Déboute les parties de toutes autres conclusions. Sur les frais : Met à charge de A______ les frais judiciaires, arrêtés à 1'000 fr. et compensés avec l'avance versée, acquise à l'Etat de Genève. Condamne A______ à verser à B______ 2'500 fr. à titre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