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ACJC/1273/2015 vom 25. August 2015</w:t>
      </w:r>
    </w:p>
    <w:p>
      <w:r>
        <w:t>GE Cour de justice, 2015-08-25, FR</w:t>
      </w:r>
    </w:p>
    <w:p>
      <w:r>
        <w:rPr>
          <w:b/>
        </w:rPr>
        <w:t xml:space="preserve">Quelle: </w:t>
      </w:r>
      <w:r>
        <w:t>https://mcp.opencaselaw.ch/entscheid/ge_gerichte_ACJC_1273_2015</w:t>
      </w:r>
    </w:p>
    <w:p>
      <w:r>
        <w:t>FR: GE_GERICHTE ACJC/1273/2015 du 25 août 2015</w:t>
      </w:r>
    </w:p>
    <w:p>
      <w:r>
        <w:t>IT: GE_GERICHTE ACJC/1273/2015 del 25 agosto 2015</w:t>
      </w:r>
    </w:p>
    <w:p>
      <w:pPr>
        <w:pStyle w:val="Heading2"/>
      </w:pPr>
      <w:r>
        <w:t>Volltext</w:t>
      </w:r>
    </w:p>
    <w:p>
      <w:r>
        <w:t>Le présent arrêt est communiqué aux parties par plis recommandés ainsi qu'au Tribunal de première instance le 22 octobre 2015.</w:t>
      </w:r>
    </w:p>
    <w:p>
      <w:r>
        <w:t>REPUBLIQUE ET</w:t>
      </w:r>
    </w:p>
    <w:p>
      <w:r>
        <w:t>CANTON DE GENEVE POUVOIR JUDICIAIRE C/8958/2015 ACJC/1273/2015 ARRÊT DE LA COUR DE JUSTICE Chambre civile DU MARDI 20 OCTOBRE 2015</w:t>
      </w:r>
    </w:p>
    <w:p>
      <w:r>
        <w:t>Entre Monsieur A______, domicilié ______, (Italie), appelant d'un jugement rendu par la 7ème Chambre du Tribunal de première instance de ce canton le 25 août 2015, comparant par Me James Bouzaglo, avocat, 3, place du Molard, 1204 Genève, en l'étude duquel il fait élection de domicile, et Madame ______, domiciliée ______, Genève, intimée, comparant par Me J. Potter Van Loon, avocat, 4, rue de la Scie, 1207 Genève, en l'étude duquel elle fait élection de domicile.</w:t>
      </w:r>
    </w:p>
    <w:p>
      <w:r>
        <w:t>- 2/4 -</w:t>
      </w:r>
    </w:p>
    <w:p>
      <w:r>
        <w:t>C/8958/2015 Vu, EN FAIT, le jugement du 25 août 2015, notifié le 31 août 2015 à A______, aux termes duquel le Tribunal de première instance, statuant sur mesures protectrices de l'union conjugale, a notamment fixé le montant dû par A______ à B______ à titre de contribution à son entretien à 2'800 fr. par mois dès janvier 2015 (ch. 3); Vu l'appel expédié le 11 septembre 2015 par A______ au greffe de la Cour de justice par lequel il demande l'annulation du chiffre 3 du dispositif précité ainsi que le renvoi de la cause au Tribunal afin qu'il complète l'état de faits; Qu'il requiert, dans le corps de son appel, la suspension de l'effet exécutoire, alléguant que le paiement de l'arriéré de 25'200 fr. l'exposerait à entamer une partie substantielle de ses rentes de vieillesse, alors que l'octroi de l'effet suspensif ne serait pas de nature à causer un dommage à l'intimée, dont la situation économique était favorable; Qu'invitée à se déterminer sur la requête d'effet suspensif, l'intimée s'en rapporte quant à la recevabilité de la requête, compte tenu de l'absence de conclusions formelles à cet égard, et s'y oppose si elle était recevable;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w:t>
      </w:r>
    </w:p>
    <w:p>
      <w:r>
        <w:t>- 3/4 -</w:t>
      </w:r>
    </w:p>
    <w:p>
      <w:r>
        <w:t>C/8958/2015 Qu'en l'espèce, la recevabilité de l'appel, qui est dépourvu de conclusions chiffrées, est douteuse; Que cette question peut cependant demeurer indécise, dès lors que la requête d'effet suspensif doit de toute manière être rejetée; Qu'en effet, l'appelant n'expose pas en quoi l'exécution immédiate du jugement attaqué serait susceptible de lui causer un préjudice difficilement réparable, se bornant à soutenir qu'il devrait entamer ses rentes de vieillesse; Que l'existence d'un préjudice difficilement réparable n'est, en outre, pas manifeste, les rentes perçues par l'appelant ayant, d'un commun accord entre les parties, été arrêtées à 5'976 fr. 45 par mois et le Tribunal ayant fixé ses charges à 1'840 fr. et 700 € par mois, montants non critiqués par l'appelant, de sorte que son disponible d'environ 3'300 fr. par mois lui permet de s'acquitter de la somme mensuelle de 2'800 fr. mise à sa charge; Que, par ailleurs, la fortune de l'intimée lui permettrait, en cas d'admission de l'appel, de restituer un éventuel trop-perçu; Qu'au vu de ce qui précède, la requête tendant à la suspension de l'effet exécutoire du jugement querellé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- 4/4 -</w:t>
      </w:r>
    </w:p>
    <w:p>
      <w:r>
        <w:t>C/8958/2015 PAR CES MOTIFS, La Présidente de la Chambre civile : Statuant sur suspension de l'exécution : Rejette la requête de A______ tendant à la suspension de l'effet exécutoire attaché au chiffre 3 du dispositif du jugement rendu le 25 août 2015 par le Tribunal de première instance dans la procédure C/8958/2015-7.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