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ACJC/1272/2021 vom 14. Oktober 2021</w:t>
      </w:r>
    </w:p>
    <w:p>
      <w:r>
        <w:t>GE Cour de justice, 2021-10-14, FR</w:t>
      </w:r>
    </w:p>
    <w:p>
      <w:r>
        <w:rPr>
          <w:b/>
        </w:rPr>
        <w:t xml:space="preserve">Quelle: </w:t>
      </w:r>
      <w:r>
        <w:t>https://mcp.opencaselaw.ch/entscheid/ge_gerichte_ACJC_1272_2021</w:t>
      </w:r>
    </w:p>
    <w:p>
      <w:r>
        <w:t>FR: GE_GERICHTE ACJC/1272/2021 du 14 octobre 2021</w:t>
      </w:r>
    </w:p>
    <w:p>
      <w:r>
        <w:t>IT: GE_GERICHTE ACJC/1272/2021 del 14 ottobre 2021</w:t>
      </w:r>
    </w:p>
    <w:p>
      <w:pPr>
        <w:pStyle w:val="Heading2"/>
      </w:pPr>
      <w:r>
        <w:t>Erwägungen</w:t>
      </w:r>
    </w:p>
    <w:p>
      <w:r>
        <w:rPr>
          <w:b/>
        </w:rPr>
        <w:t>E. 30</w:t>
      </w:r>
    </w:p>
    <w:p>
      <w:r>
        <w:t>septembre 2003, et que l'appelant aurait renoncé à ce traitement en</w:t>
      </w:r>
    </w:p>
    <w:p>
      <w:r>
        <w:t>- 18/19 -</w:t>
      </w:r>
    </w:p>
    <w:p>
      <w:r>
        <w:t>C/27510/2018 connaissance de cause. Or, ces allégations ne sont pas moins vraisemblables que le point de vue défendu par l'appelant. Troisièmement et enfin, rien ne permet d'exclure qu'il fût possible d'envisager, avant l'opération litigieuse, que le ligament croisé de l'appelant soit au besoin opéré indépendamment de la méniscectomie pratiquée par l'intimé et postérieurement à celle-ci, si elle ne suffisait pas à rétablir le statu quo antérieur à l'accident. Il est ici observé que la lésion du ligament croisé antérieur droit de l'appelant remontait alors à une vingtaine d'années et que celle-ci n'entravait pas jusque-là sa capacité de travail. Dans ces conditions, l'appelant échoue à rendre vraisemblable que des motifs personnels l'auraient conduit à renoncer à l'intervention litigieuse s'il avait été informé des risques que celle-ci comportait. Avec l'intimé, il faut au contraire admettre qu'un patient raisonnable, placé dans la situation de l'appelant et dûment informé des risques encourus, aurait consenti à cette intervention, même si elle n'incluait pas un traitement du ligament croisé antérieur du genou concerné, et ce au vu notamment des douleurs et des limitations de mouvement que l'appelant ressentait au niveau dudit genou, ainsi que de la possibilité laissée intacte d'intervenir ultérieurement sur le ligament croisé susvisé en cas de nécessité. 3.2.3 C'est ainsi à bon droit que le Tribunal a retenu l'existence d'un consentement hypothétique de l'appelant à l'intervention litigieuse et, partant l'absence de violation de ses obligations contractuelles par l'intimé en relation avec cette intervention. Le jugement entrepris, qui a débouté l'appelant de toutes ses prétentions pour ce motif, sera dès lors confirmé. 4. Les motifs qui précèdent suffisent à sceller le sort de l'appel. Il n'est donc pas nécessaire d'examiner en sus le lien de causalité adéquate pouvant être établi entre le défaut d'information reproché à l'intimé et le préjudice allégué par l'appelant, lien dont le Tribunal a nié l'existence par surabondance de moyens. 5. Les frais judiciaires de l'appel seront arrêtés à 3'500 fr. (art. 17 et 35 RTFMC; art. 19 al. 5 LaCC) et mis à la charge de l'appelant, qui succombe (art. 105 al. 1, art. 106 al. 1 CPC). Dès lors que l'appelant plaide au bénéfice de l'assistance judiciaire, ces frais seront provisoirement supportés par l'Etat de Genève, lequel pourra en demander le remboursement ultérieur aux conditions fixées par la loi (art. 122 al. 1 let. b et 123 al. 1 CPC; art. 19 RAJ). L'appelant sera au surplus condamné à payer à l'intimé la somme de 3'000 fr. à titre de dépens d'appel (art. 105 al. 2, art. 118 al. 3 CPC; art. 23 LaCC; art. 84, 85 al. 1 et 90 RTFMC), débours et TVA compris (art. 25 et 26 LaCC). * * * * *</w:t>
      </w:r>
    </w:p>
    <w:p>
      <w:r>
        <w:t>- 19/19 -</w:t>
      </w:r>
    </w:p>
    <w:p>
      <w:r>
        <w:t>C/27510/2018</w:t>
      </w:r>
    </w:p>
    <w:p>
      <w:r>
        <w:t>PAR CES MOTIFS, La Chambre civile : A la forme : Déclare recevable l'appel interjeté le 10 mai 2021 par A______ contre le jugement JTPI/4132/2021 rendu le 24 mars 2021 par le Tribunal de première instance dans la cause C/27510/2018-18. Au fond : Confirme ce jugement. Déboute les parties de toutes autres conclusions. Sur les frais : Arrête les frais judiciaires d'appel à 3'500 fr. et les met à la charge de A______. Dit que ce montant est provisoirement supporté par l'Etat de Genève, qui pourra en réclamer le remboursement ultérieurement. Condamne A______ à payer à B______ la somme de 3'000 fr. à titre de dépens d'appel. Siégeant : Monsieur Cédric-Laurent MICHEL, président; Madame Pauline ERARD,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