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ACJC/1272/2019 vom 6. April 2017</w:t>
      </w:r>
    </w:p>
    <w:p>
      <w:r>
        <w:t>GE Cour de justice, 2017-04-06, FR</w:t>
      </w:r>
    </w:p>
    <w:p>
      <w:r>
        <w:rPr>
          <w:b/>
        </w:rPr>
        <w:t xml:space="preserve">Quelle: </w:t>
      </w:r>
      <w:r>
        <w:t>https://mcp.opencaselaw.ch/entscheid/ge_gerichte_ACJC_1272_2019</w:t>
      </w:r>
    </w:p>
    <w:p>
      <w:r>
        <w:t>FR: GE_GERICHTE ACJC/1272/2019 du 6 avril 2017</w:t>
      </w:r>
    </w:p>
    <w:p>
      <w:r>
        <w:t>IT: GE_GERICHTE ACJC/1272/2019 del 6 aprile 2017</w:t>
      </w:r>
    </w:p>
    <w:p>
      <w:pPr>
        <w:pStyle w:val="Heading2"/>
      </w:pPr>
      <w:r>
        <w:t>Volltext</w:t>
      </w:r>
    </w:p>
    <w:p>
      <w:r>
        <w:t>Le présent arrêt est communiqué aux parties par plis recommandés du 2 septembre 2019.</w:t>
      </w:r>
    </w:p>
    <w:p>
      <w:r>
        <w:t>REPUBLIQUE ET</w:t>
      </w:r>
    </w:p>
    <w:p>
      <w:r>
        <w:t>CANTON DE GENEVE POUVOIR JUDICIAIRE C/10048/2019 ACJC/1272/2019 ARRÊT DE LA COUR DE JUSTICE Chambre civile DU VENDREDI 30 AOUT 2019</w:t>
      </w:r>
    </w:p>
    <w:p>
      <w:r>
        <w:t>Entre Madame A______, domiciliée chemin ______, ______ Genève, appelante d'un jugement rendu par la 18ème Chambre du Tribunal de première instance de ce canton le 4 juillet 2019, comparant par Me Daniel Schutz, avocat, rue de la Croix-d'Or 10, 1204 Genève, en l'étude duquel elle fait élection de domicile, et Monsieur B______, domicilié chemin ______, ______ Genève, intimé, comparant par Me Yves Magnin, avocat, rue de la Rôtisserie 2, case postale 3809, 1211 Genève 3, en l'étude duquel il fait élection de domicile.</w:t>
      </w:r>
    </w:p>
    <w:p>
      <w:r>
        <w:t>- 2/4 -</w:t>
      </w:r>
    </w:p>
    <w:p>
      <w:r>
        <w:t>C/10048/2019 Attendu, EN FAIT, que suite à une demande de mesures protectrices de l'union conjugale, le Tribunal de première instance a, par jugement du 6 avril 2017 (JTPI/4849/2017), attribué la jouissance du domicile conjugal à B______ et imparti à A______ un délai pour quitter celui-ci au 30 septembre 2017, le jugement précédent étant confirmé pour le surplus; que la Cour de justice a, par arrêt du 20 février 2018, modifié le délai de départ au 31 août 2018 et confirmé le jugement du Tribunal de première instance du 6 avril 2017 pour le surplus; Que par requête adressée au greffe du Tribunal le 7 mai 2019, A______ a sollicité à nouveau des mesures protectrices de l'union conjugale avec mesures superprovisionnelles; qu'elle a conclu à la suspension de l'attribution du domicile conjugal à B______ et à ce qu'une expertise psychiatrique de son propre état de santé soit ordonnée, notamment en lien à sa capacité mentale à quitter le domicile conjugal; Que les mesures superprovisionnelles ont été rejetées par ordonnance du 8 mai 2019; Que par jugement du 4 juillet 2019, le Tribunal, statuant par voie de procédure sommaire, a rejeté la requête formée le 7 mai 2019 par A______ (ch. 1 du dispositif), statué sur les frais (ch. 2 à 4) et débouté les parties de toutes autres conclusions (ch. 5); Que par acte expédié à la Cour le 18 juillet 2019, A______ a formé appel contre ce jugement; qu'elle a conclu, avec suite de frais, à l'annulation de ce jugement et, cela fait, à la suspension de l'attribution du domicile conjugal à B______ et à ce qu'une expertise psychiatrique de son état de santé soit ordonnée, subsidiairement, au renvoi de la cause au Tribunal; Qu'elle a conclu, préalablement, à l'octroi de l'effet suspensif à son appel; qu'elle a invoqué un préjudice difficilement réparable résultant du fait qu'elle devrait quitter le domicile conjugal, ce qui aurait des conséquences sur son état psychique et physique, ainsi que financières; Qu'invité à se déterminer, B______ s'en est rapporté à justice sur la demande d'effet suspensif, relevant que les décisions déjà rendues avaient déjà examiné la question de l'état de santé de A______, qu'aucun fait nouveau n'était allégué et qu'aucun préjudice difficilement réparable n'était invoqué;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w:t>
      </w:r>
    </w:p>
    <w:p>
      <w:r>
        <w:t>- 3/4 -</w:t>
      </w:r>
    </w:p>
    <w:p>
      <w:r>
        <w:t>C/10048/2019 fait et s'examinant à l'aune de l'efficacité du jugement à rendre à l'issue de la procédure ordinaire, qui en serait compromise (ATF 138 III 378 consid. 6.3; arrêt du Tribunal fédéral 4P.5/2002 du 8 avril 2002 consid. 3a);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Que, saisie d'une demande d'effet suspensif, l'autorité cantonale d'appel doit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cantonale dispose d'un large pouvoir d'appréciation permettant de tenir compte des circonstances concrètes du cas d'espèce (ATF 137 III 475 consid. 4.1; arrêt du Tribunal fédéral 5A_941/2018 du 23 janvier 2019, consid. 5.3.2); Qu'en l'espèce le maintien du caractère exécutoire du jugement contesté contraindrait l'appelante à entreprendre des démarches (signature d'un nouveau contrat de bail, déménagement) qui ne seraient que difficilement réversibles dans l'hypothèse où elle obtiendrait gain de cause et viderait de sa substance l'appel qu'elle a formé; Qu'à l'inverse l'intimé ne subira vraisemblablement pas de préjudice difficilement réparable du fait du maintien, pour une durée relativement brève, compte tenu de la nature sommaire de la procédure, de la situation actuelle, laquelle perdure depuis plusieurs années; Que la requête de suspension de la force exécutoire du dispositif de la décision querellée sera donc admise; Qu'il sera statué sur les frais et dépens liés à la présente décision avec la décision au fond (art. 104 al. 3 CPC). * * * * *</w:t>
      </w:r>
    </w:p>
    <w:p>
      <w:r>
        <w:t>- 4/4 -</w:t>
      </w:r>
    </w:p>
    <w:p>
      <w:r>
        <w:t>C/10048/2019 PAR CES MOTIFS, La Chambre civile : Statuant sur requête de suspension du caractère exécutoire du jugement entrepris : Admet la requête formée par A______ tendant à suspendre le caractère exécutoire du jugement JTPI/9935/2019 rendu le 4 juillet 2019 par le Tribunal de première instance dans la cause C/10048/2019-18. Dit qu'il sera statué sur les frais liés à la présente décision dans l'arrêt rendu sur le fond. Siégeant : Monsieur Laurent RIEBEN, président; Madame Sophie MARTINEZ, greffière.</w:t>
      </w:r>
    </w:p>
    <w:p>
      <w:r>
        <w:t>Le président : Laurent RIEBEN</w:t>
      </w:r>
    </w:p>
    <w:p>
      <w:r>
        <w:t>La greffière : Christel HENZELIN</w:t>
      </w:r>
    </w:p>
    <w:p>
      <w:r>
        <w:t>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