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ACJC/1271/2011 vom 7. September 2010</w:t>
      </w:r>
    </w:p>
    <w:p>
      <w:r>
        <w:t>GE Cour de justice, 2010-09-07, FR</w:t>
      </w:r>
    </w:p>
    <w:p>
      <w:r>
        <w:rPr>
          <w:b/>
        </w:rPr>
        <w:t xml:space="preserve">Quelle: </w:t>
      </w:r>
      <w:r>
        <w:t>https://mcp.opencaselaw.ch/entscheid/ge_gerichte_ACJC_1271_2011</w:t>
      </w:r>
    </w:p>
    <w:p>
      <w:r>
        <w:t>FR: GE_GERICHTE ACJC/1271/2011 du 7 septembre 2010</w:t>
      </w:r>
    </w:p>
    <w:p>
      <w:r>
        <w:t>IT: GE_GERICHTE ACJC/1271/2011 del 7 settembre 2010</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w:t>
      </w:r>
    </w:p>
    <w:p>
      <w:r>
        <w:t>S'agissant en l'espèce d'un appel dirigé contre un jugement notifié aux parties avant le 1er janvier 2011 et formé antérieurement à cette date, la présente procédure d'appel est régie par les anciennes lois d'organisation judiciaire et de procédure civile genevoise (aLOJ et aLPC).</w:t>
      </w:r>
    </w:p>
    <w:p>
      <w:r>
        <w:rPr>
          <w:b/>
        </w:rPr>
        <w:t>E. 1.2</w:t>
      </w:r>
    </w:p>
    <w:p>
      <w:r>
        <w:t>L'appel ayant été formé dans le délai et suivant la forme prescrite (art. 296, 298 et 300 aLPC), il est recevable. Les dernières conclusions prises en première instance ayant porté sur des valeurs litigieuses supérieures à 8'000 fr. en capital, le Tribunal a statué en premier ressort (art. 22 aLOJ), de sorte que la Cour dispose d'un plein pouvoir d'examen (art. 291 aLPC; SJ 1984 p. 466 consid. 1).</w:t>
      </w:r>
    </w:p>
    <w:p>
      <w:r>
        <w:rPr>
          <w:b/>
        </w:rPr>
        <w:t>E. 2.1</w:t>
      </w:r>
    </w:p>
    <w:p>
      <w:r>
        <w:t>Il découle de la maxime des débats que le juge est lié par les faits non contestés. Ceux-ci n'ont ainsi pas être prouvés (art. 194 al. 2 aLPC; arrêt du Tribunal fédéral du 30.09.91 consid. 3b in RFJ 1992 p. 67; HOHL, Procédure civile, tome I, 2001, n. 767). La partie qui se prévaut desdits faits est tenue de les articuler avec précision et celle à laquelle ils sont opposés de reconnaître ou dénier chacun des faits catégoriquement (art. 126 al. 2 aLPC). Le recours à des mesures probatoires ne s’impose que si de telles mesures sont à la fois nécessaires et utiles. La nécessité tient au fait que les allégués valablement présentés, pertinents pour la solution du litige, ne sont pas d’ores et déjà établis (par absence de contestation, par aveux, par présomption, etc.). L’utilité réside dans la capacité attribuée à la mesure ordonnée de parvenir au but recherché, à savoir l’établissement des faits pertinents. Il est ainsi inutile d’ordonner des enquêtes si les faits se sont déroulés en l’absence de tout témoin, ou de procéder à une expertise si l’objet à examiner a disparu ou encore a été altéré de telle manière que les constatations nécessaires ne</w:t>
      </w:r>
    </w:p>
    <w:p>
      <w:r>
        <w:t>- 6/10 -</w:t>
      </w:r>
    </w:p>
    <w:p>
      <w:r>
        <w:t>C/20793/2008 peuvent plus être effectuées (BERTOSSA/GAILLARD/GUYET/SCHMIDT, Commentaire de la loi de procédure civile genevoise, ad art. 197 al. 1 aLPC n. 1 et référence citée). Le jugement doit se fonder sur les faits pertinents qui n'ont pas été contestés (arrêt du Tribunal fédéral 4P.29/2003 consid. 2.2.4 in Pra 93 (2004) Nr. 45 p. 233; GULDENER, Schweizerisches Zivilprozessrecht, 1979, p. 160). En l'espèce, la banque appelante fait grief au premier juge d'avoir retenu que l'intimée a apporté la preuve qu'elle avait été la première à présenter le dossier du responsable informatique. L'appelante perd de vue qu'en première instance elle a admis que l'intimée lui a présenté ledit dossier en date du 24 juillet 2007 (TPI - mémoire de réponse ad ch. 15 p. 3), alors même qu'elle affirme que l'autre entreprise de courtage n'a été contactée par la responsable des ressources humaines de la banque qu'entre la fin du mois d'août et le début septembre 2007 (TPI - mémoire de réponse ch. 19 p. 8). Ainsi, les enquêtes n'avaient pas à porter sur ce fait admis par l'appelante et le juge pouvait retenir qu'il était établi.</w:t>
      </w:r>
    </w:p>
    <w:p>
      <w:r>
        <w:rPr>
          <w:b/>
        </w:rPr>
        <w:t>E. 2.2</w:t>
      </w:r>
    </w:p>
    <w:p>
      <w:r>
        <w:t>Le jugement dont est appel a, avec raison, qualifié la nature du rapport entre l'appelante et l'intimée d'un contrat oral de courtage d'indication (art. 1, 19 et 412ss CO). Au sens de l'art. 412 al. 1 CO le courtage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(art. 413 al. 1 CO ; ATF 131 III 268 consid. 5.1.2 p. 275 et réf. citées).</w:t>
      </w:r>
    </w:p>
    <w:p>
      <w:r>
        <w:t>En effet, l'intimée s'était engagée à indiquer à la banque appelante des personnes susceptibles de correspondre au profil recherché pour le poste de responsable informatique à charge pour la banque de lui verser une commission qui, en l'absence de convention spécifique, était à définir selon l'usage de la branche. Dans le cas d'espèce, cette rémunération devait être calculée en pourcentage du salaire annuel brut de l'employé nouvellement engagé.</w:t>
      </w:r>
    </w:p>
    <w:p>
      <w:r>
        <w:t>Dans la mesure où les parties n'ont pas signé de clause d'exclusivité courant 2007 lors de l'entretien entre le service des ressources humaines et les responsables de l'intimée et que le directeur de l'appelante a expressément mentionné à l'intimée qu'il chercherait de surcroît des candidats au poste de responsable informatique par ses propres moyens, le caractère non-exclusif du contrat de courtage pour ledit poste de travail est admis.</w:t>
      </w:r>
    </w:p>
    <w:p>
      <w:r>
        <w:rPr>
          <w:b/>
        </w:rPr>
        <w:t>E. 3.1</w:t>
      </w:r>
    </w:p>
    <w:p>
      <w:r>
        <w:t>La nature aléatoire de la rémunération du courtier étant une caractéristique du contrat de courtage, la naissance du droit du courtier au versement de sa</w:t>
      </w:r>
    </w:p>
    <w:p>
      <w:r>
        <w:t>- 7/10 -</w:t>
      </w:r>
    </w:p>
    <w:p>
      <w:r>
        <w:t>C/20793/2008 rémunération dépend seulement de la conclusion du contrat principal ; il n'est pas tenu compte des efforts déployés ou du temps consacré par le courtier pour exécuter son mandat; seul le rôle que le courtier a joué dans l'aboutissement de l'affaire est déterminant, puisque la ratio legis de cette disposition est de rémunérer le succès du courtier (arrêt du Tribunal fédéral 4C.278/2004 du 29 décembre 2004, consid. 2.3 et réf. citées).</w:t>
      </w:r>
    </w:p>
    <w:p>
      <w:r>
        <w:rPr>
          <w:b/>
        </w:rPr>
        <w:t>E. 3.2</w:t>
      </w:r>
    </w:p>
    <w:p>
      <w:r>
        <w:t>Le droit à la rémunération du courtier prend naissance lorsque celui-ci a indiqué au mandant l'occasion de conclure le contrat principal voulu (courtage d'indication), ou a négocié pour le compte du mandant avec un éventuel cocontractant (courtage de négociation), et que cette activité a abouti à la conclusion du contrat. Il n'est cependant pas nécessaire que la conclusion du contrat principal soit la conséquence immédiate de l'activité du courtier et il suffit que celle-ci ait été une cause même éloignée de la décision du tiers satisfaisant à l'objectif du mandant, et l'existence d'un "lien psychologique" entre les efforts du courtier et la décision du tiers, lien qui peut subsister en dépit d'une rupture des pourparlers, est suffisante. Peut importe en outre que le courtier n'ait pas participé jusqu'au bout aux négociations entre vendeur et acheteur ou qu'un autre courtier ait aussi été mis en œuvre; en pareille hypothèse, la condition suspensive de l'art. 413 al. 1 CO n'est défaillante que si l'activité du courtier n'a abouti à aucun résultat, que les pourparlers consécutifs à cette activité ont été définitivement rompus et que l'affaire conclue avec le tiers présenté par le courtier, l'est finalement sur des bases entièrement nouvelles. Le temps écoulé entre les derniers efforts du courtier et la conclusion du contrat principal est enfin un fait dénué de portée (arrêts du Tribunal fédéral 4C.93/2006 du 14 juillet 2006, consid. 2.1 et 4C.259/2005 du 14 décembre 2005, publié in SJ 2006 I p. 216, consid. 2 et réf. citées). Lorsque le succès du courtage est dû à l'activité de plusieurs courtiers commis indépendamment les uns des autres, simultanément ou successivement, chacun d'eux n'a droit qu'à une part proportionnelle du salaire unique car il paraît juste de mesurer l'importance du travail de chacun des courtiers dans l'ensemble des efforts qui ont été couronnés de succès et de fixer le salaire des uns et des autres en proportion de leur contribution au résultat obtenu pour lequel le commettant ne doit qu'une seule commission (ATF 72 II 421 in SJ 1991, consid. 2b p. 221). Le Tribunal fédéral a estimé que lorsque plusieurs courtiers commis indépendamment les uns des autres ont contribué à procurer la conclusion du contrat chacun d'eux n'a pas droit à toute la commission car cette solution serait inéquitable. Ainsi, il convient de la rejeter, car elle abouti à faire peser une charge trop importante sur le mandant (JT 1947 I 294).</w:t>
      </w:r>
    </w:p>
    <w:p>
      <w:r>
        <w:rPr>
          <w:b/>
        </w:rPr>
        <w:t>E. 3.3</w:t>
      </w:r>
    </w:p>
    <w:p>
      <w:r>
        <w:t>En vertu de l'art. 8 CC, le fardeau de la preuve pour prouver qu'il existe un lien de causalité incombe au courtier. Toutefois, lorsque le courtier accomplit des</w:t>
      </w:r>
    </w:p>
    <w:p>
      <w:r>
        <w:t>- 8/10 -</w:t>
      </w:r>
    </w:p>
    <w:p>
      <w:r>
        <w:t>C/20793/2008 actes propres à amener le tiers à conclure, le courtier bénéficie d'une présomption de fait en vertu de laquelle il appartient au mandant de prouver l'absence de lien psychologique entre les efforts du courtier et la décision du tiers (arrêt du Tribunal fédéral 4C.278/2004 du 29 décembre 2004, consid. 2.3 et réf. citées; CJ, SJ 1991 218; F. RAYROUX, Commentaire romand, Code des obligations I, 2003, n. 26 ad art. 413 CO p. 2123). Au demeurant, pour que ladite causalité soit admise et pour fonder la présomption que ce "lien psychologique" a été établi, le courtier indicateur doit prouver deux éléments: d'une part, qu'il a été le premier à désigner la personne qui, après s'être intéressée en fait à l'affaire, a conclu le contrat principal et, d'autre part, que cette conclusion fait suite à l'indication du courtier (P. TERCIER/G. FAVRE, Les contrats spéciaux, 4 édition, SCHULTHESS, 2009, n 5645 p. 854 et les références citées).</w:t>
      </w:r>
    </w:p>
    <w:p>
      <w:r>
        <w:rPr>
          <w:b/>
        </w:rPr>
        <w:t>E. 4.1</w:t>
      </w:r>
    </w:p>
    <w:p>
      <w:r>
        <w:t>Tout en contestant la connexité entre l'activité de l'intimée qui était la première entreprise de courtage et l'engagement du responsable informatique, l'appelante reproche au premier juge d'avoir nié l'existence d'un lien de causalité entre l'activité de la seconde entreprise de courtage et la conclusion du contrat de travail dudit responsable.</w:t>
      </w:r>
    </w:p>
    <w:p>
      <w:r>
        <w:rPr>
          <w:b/>
        </w:rPr>
        <w:t>E. 4.2</w:t>
      </w:r>
    </w:p>
    <w:p>
      <w:r>
        <w:t>In casu, l'intimée a déployé, à l'endroit de la banque, les efforts qui pouvaient être attendus d'elle, puisqu'elle a publié une annonce sur internet, trié les candidats, lui a communiqué le dossier de candidature le plus approprié pour le poste de responsable informatique et l'a ensuite contacté téléphoniquement, actes qui étaient objectivement propres à établir le "lien psychologique" qui a favorisé la conclusion du contrat de travail du responsable informatique. Il n'est pas démontré par l'appelante qu'il y a eu rupture du lien de causalité entre l'activité de l'intimée et l'engagement du responsable informatique. Le laps de temps de moins de 3 mois qui s'est écoulé entre la fin du mois de juillet et fin septembre 2007 n'est pas un facteur d'interruption du "lien psychologique", d'autant plus que l'appelante n'a pas informé l'intimée qu'elle souhaitait rompre leur relation contractuelle pour le susdit poste de travail ou que la banque était en pourparlers avec l'autre entreprise de courtage concernant une personne que l'intimée lui avait déjà présentée en vue de repourvoir le même poste. D'après ces principes, le lien de causalité entre l'activité de l'intimée et l'engagement du responsable informatique est établi. L'appelante allègue que sa décision de nommer ledit responsable informatique n'a pas pu être influencée par l'intimée pour la raison qu'elle n'a donné suite au dossier de candidature de celui-ci qu'après l'intervention du second courtier.</w:t>
      </w:r>
    </w:p>
    <w:p>
      <w:r>
        <w:t>- 9/10 -</w:t>
      </w:r>
    </w:p>
    <w:p>
      <w:r>
        <w:t>C/20793/2008 Il est clair que l'appelante n'a pas été indifférente face au candidat présenté par l'intimée car quelques mois plus tard elle l'engageait en tant que responsable informatique. Certes, celui-ci avait alors été présenté à nouveau par la seconde entreprise de courtage, mais l'appelante était la première à soumettre ce candidat. Les deux entreprises de courtage ont toutes deux rempli leurs obligations contractuelles dans la recherche de candidats au poste à repourvoir. Ainsi, la seconde entreprise de courtage a conduit les tractations jusqu'à la conclusion du contrat, toutefois l'appelante avait déjà pris formellement connaissance dudit dossier de candidature. Dès lors, l'activité de la seconde entreprise de courtage a été facilitée par le fait que l'appelante connaissait déjà le candidat. Par conséquent, il est équitable d'attribuer à l'intimée la moitié du salaire auquel elle aurait eu droit si elle avait été la seule à déployer son activité.</w:t>
      </w:r>
    </w:p>
    <w:p>
      <w:r>
        <w:rPr>
          <w:b/>
        </w:rPr>
        <w:t>E. 4.3</w:t>
      </w:r>
    </w:p>
    <w:p>
      <w:r>
        <w:t>Alors même que l'appelante affirme contester l'étendue du droit à la commission de l'intimée, elle n'en conteste pas spécifiquement la base de calcul en appel. Selon la décision du premier juge et aucun grief n'ayant été formué sur cette question, ladite commission a été fixée conformément au salaire couramment facturé par l'appelante, équivalant au salaire usuel de la branche professionnelle, et qui représente 25% du montant brut du salaire annuel du responsable informatique, l'engagement de ce dernier étant la conséquence de l'activité des deux courtiers successifs. La Cour de céans réduira de moitié le montant alloué par le premier juge, et allouera en conséquence 20'175 fr. (TVA incluse) à l'intimée. Le jugement querellé est réformé sur ce point.</w:t>
      </w:r>
    </w:p>
    <w:p>
      <w:r>
        <w:rPr>
          <w:b/>
        </w:rPr>
        <w:t>E. 5</w:t>
      </w:r>
    </w:p>
    <w:p>
      <w:r>
        <w:t>A teneur de l’art. 176 al. 1 aLPC. Pour déterminer la partie qui a succombé et, le cas échéant, dans quelle mesure, il convient de se fonder sur les conclusions des parties (arrêt du Tribunal fédéral 4P.3/2003 du 14 mars 2003). Le juge statue en équité sur l'indemnité de procédure en tenant compte notamment de l’importance de la cause, de ses difficultés, de l’ampleur de la procédure, et de frais éventuels (art. 181 al. 3 aLPC). La détermination du montant de l'indemnité relevant de la libre appréciation du juge, elle ne sera revue qu'en cas d'arbitraire. En l'espèce, les conclusions de l’intimée totalisent environ 40'350 fr.. Elle obtient, par le présent arrêt, 20'175 fr. qui correspond à 50% de ses conclusions. L'appelante qui concluait au déboutement succombe quant au principe et n'obtient que très partiellement gain de cause en appel. Au vu de ce qui précède, l'issue de la cause justifie de faire masse des dépens de première instance et d'appel (184 aLPC) et de les compenser vu l'équité (art. 176 al. 3, 308 et 313 aLPC). * * * * *</w:t>
      </w:r>
    </w:p>
    <w:p>
      <w:r>
        <w:t>- 10/10 -</w:t>
      </w:r>
    </w:p>
    <w:p>
      <w:r>
        <w:t>C/20793/2008 PAR CES MOTIFS, La Chambre civile : A la forme : Déclare recevable l'appel interjeté par B______SARL contre le jugement JTPI/8675/2010 rendu le mardi 7 septembre 2010 par le Tribunal de première instance dans la cause C/20793/2008-16. Au fond : Annule ce jugement. Et, statuant à nouveau : Condamne A______ à payer 20'175 fr. avec intérêts à 5% dès le 1er février 2008 à B______. Fait masse des dépens de première instance et d'appel et les compense. Déboute les parties de toutes autres conclusions. Siégeant : Madame Marguerite JACOT-DES-COMBES, présidente; Monsieur Daniel DEVAUD, Madame Elena SAMPEDRO,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