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ACJC/1268/2015 vom 19. Oktober 2015</w:t>
      </w:r>
    </w:p>
    <w:p>
      <w:r>
        <w:t>GE Cour de justice, 2015-10-19, FR</w:t>
      </w:r>
    </w:p>
    <w:p>
      <w:r>
        <w:rPr>
          <w:b/>
        </w:rPr>
        <w:t xml:space="preserve">Quelle: </w:t>
      </w:r>
      <w:r>
        <w:t>https://mcp.opencaselaw.ch/entscheid/ge_gerichte_ACJC_1268_2015</w:t>
      </w:r>
    </w:p>
    <w:p>
      <w:r>
        <w:t>FR: GE_GERICHTE ACJC/1268/2015 du 19 octobre 2015</w:t>
      </w:r>
    </w:p>
    <w:p>
      <w:r>
        <w:t>IT: GE_GERICHTE ACJC/1268/2015 del 19 ottobre 2015</w:t>
      </w:r>
    </w:p>
    <w:p>
      <w:pPr>
        <w:pStyle w:val="Heading2"/>
      </w:pPr>
      <w:r>
        <w:t>Erwägungen</w:t>
      </w:r>
    </w:p>
    <w:p>
      <w:r>
        <w:rPr>
          <w:b/>
        </w:rPr>
        <w:t>E. 1.1</w:t>
      </w:r>
    </w:p>
    <w:p>
      <w:r>
        <w:t>En matière de séquestre, la procédure sommaire s'applique (art. 251 let. a CPC).</w:t>
      </w:r>
    </w:p>
    <w:p>
      <w:r>
        <w:t>Aux termes de l'art. 309 let. b ch. 6 CPC, l'appel est irrecevable dans les affaires de séquestre (art. 272 et 278 LP).</w:t>
      </w:r>
    </w:p>
    <w:p>
      <w:r>
        <w:t>Le recours des articles 319 ss CPC est ouvert en la matière, qu'il s'agisse d'une décision de refus de séquestre ou d'une décision sur opposition au séquestre (BLICKENSTORFER, in ZPO, DIKE-Kommentar, 2011, n° 24 ad art. 309 CPC; HOHL, Procédure civile, tome II, 2ème éd., 2010, n° 1627 s.; REETZ/ THEILER, in ZPO, Schulthess-Kommentar, 2013, n° 34 ad art. 309 CPC; arrêt du Tribunal fédéral 5A_508/2012 du 28 août 2012 consid. 3.1).</w:t>
      </w:r>
    </w:p>
    <w:p>
      <w:r>
        <w:rPr>
          <w:b/>
        </w:rPr>
        <w:t>E. 1.2</w:t>
      </w:r>
    </w:p>
    <w:p>
      <w:r>
        <w:t>Le recours, écrit et motivé, doit être formé dans un délai de dix jours à compter de la notification de la décision (art. 321 al. 1 et 2 CPC).</w:t>
      </w:r>
    </w:p>
    <w:p>
      <w:r>
        <w:t>Le recours, interjeté dans le délai et selon la forme prévus par la loi, est recevable.</w:t>
      </w:r>
    </w:p>
    <w:p>
      <w:r>
        <w:rPr>
          <w:b/>
        </w:rPr>
        <w:t>E. 1.3</w:t>
      </w:r>
    </w:p>
    <w:p>
      <w:r>
        <w:t>Les conclusions, les allégations de faits et les preuves nouvelles sont irrecevables (art. 326 al. 1 CPC).</w:t>
      </w:r>
    </w:p>
    <w:p>
      <w:r>
        <w:rPr>
          <w:b/>
        </w:rPr>
        <w:t>E. 2</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w:t>
      </w:r>
    </w:p>
    <w:p>
      <w:r>
        <w:rPr>
          <w:b/>
        </w:rPr>
        <w:t>E. 3</w:t>
      </w:r>
    </w:p>
    <w:p>
      <w:r>
        <w:t>Selon l'art. 271 al. 1 ch. 4 LP, le créancier d'une dette échue et non garantie par gage peut requérir le séquestre des biens du débiteur lorsque ce dernier n'habite pas en Suisse, s'il n'y a pas d'autre cas de séquestre, pour autant que la créance ait un lien suffisant avec la Suisse ou qu'elle se fonde sur une reconnaissance de dette au sens de l'art. 82 al. 1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w:t>
      </w:r>
    </w:p>
    <w:p>
      <w:r>
        <w:t>- 6/10 -</w:t>
      </w:r>
    </w:p>
    <w:p>
      <w:r>
        <w:t>C/16950/2015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S'agissant de l'application du droit, le juge procède à un examen sommaire du bien-fondé juridique, c'est-à-dire un examen qui n'est ni définitif, ni complet, au terme duquel il rend une décision provisoire (ATF 138 III 232 consid. 4.1.1; arrêt 5A_925/2012 du 5 avril 2013 consid. 9.2 et les références, publié in SJ 2013 I p. 463; 5A_893/2013 du 18 février 2014 consid. 3).</w:t>
      </w:r>
    </w:p>
    <w:p>
      <w:r>
        <w:rPr>
          <w:b/>
        </w:rPr>
        <w:t>E. 4</w:t>
      </w:r>
    </w:p>
    <w:p>
      <w:r>
        <w:t>La recourante reproche en premier lieu au Tribunal de n'avoir pas suffisamment motivé sa décision, violant ainsi son droit d'être entendu.</w:t>
      </w:r>
    </w:p>
    <w:p>
      <w:r>
        <w:rPr>
          <w:b/>
        </w:rPr>
        <w:t>E. 4.1</w:t>
      </w:r>
    </w:p>
    <w:p>
      <w:r>
        <w:t>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129 I 232 consid. 3.2, JdT 2004 I 588, SJ 2003 I 513; arrêt du Tribunal fédéral 4A_523/2010 du 22 novembre 2010 consid. 5.3; 5A_598/2012 du 4 décembre 2012 consid. 3.1; 4A_527/2011 du 5 mars 2012 consid. 2.6 n.p. in ATF 138 III 213). Il n'y a en particulier pas de violation du droit d'être entendu sous l'angle d'une motivation lacunaire lorsque le recourant est en mesure d'attaquer le raisonnement de l'arrêt attaqué, ce qui démontre qu'il l'a saisi (arrêt du Tribunal fédéral 5A_134/2013 du 23 mai 2013 consid. 4.2).</w:t>
      </w:r>
    </w:p>
    <w:p>
      <w:r>
        <w:rPr>
          <w:b/>
        </w:rPr>
        <w:t>E. 4.2</w:t>
      </w:r>
    </w:p>
    <w:p>
      <w:r>
        <w:t>En l'espèce, la motivation du Tribunal est suffisante pour permettre à la recourante de comprendre la décision et de l'attaquer utilement. L'on comprend en effet clairement à la lecture de la décision que le Tribunal a retenu que la recourante n'avait pas rendu vraisemblable que la clause de non concurrence répondait aux exigences posées par les articles 340a ss CO, lesquelles devaient être respectées pour que la clause soit considérée comme valide.</w:t>
      </w:r>
    </w:p>
    <w:p>
      <w:r>
        <w:t>- 7/10 -</w:t>
      </w:r>
    </w:p>
    <w:p>
      <w:r>
        <w:t>C/16950/2015 Elle n'avait pas non plus rendu vraisemblable la réalisation des conditions de l'art. 340 al. 2 CO, à savoir d'une part la connaissance par le travailleur de la clientèle ou de secrets d'affaires de l'employeur et, d'autre part, le préjudice susceptible d'être causé à ce dernier par l'utilisation de ces renseignements. Les points qui précèdent sont d'ailleurs développés dans le recours, ce qui démontre que la recourante a compris le raisonnement du Tribunal.</w:t>
      </w:r>
    </w:p>
    <w:p>
      <w:r>
        <w:rPr>
          <w:b/>
        </w:rPr>
        <w:t>E. 5</w:t>
      </w:r>
    </w:p>
    <w:p>
      <w:r>
        <w:t>Cette dernière soutient avoir rendu vraisemblable l'existence de sa créance fondée sur la violation de la clause de non concurrence. Au stade de la vraisemblance, aucun élément ne permettait, selon elle, de remettre en question la validité de cette clause.</w:t>
      </w:r>
    </w:p>
    <w:p>
      <w:r>
        <w:rPr>
          <w:b/>
        </w:rPr>
        <w:t>E. 5.1</w:t>
      </w:r>
    </w:p>
    <w:p>
      <w:r>
        <w:t>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ce dernier un préjudice sensible.</w:t>
      </w:r>
    </w:p>
    <w:p>
      <w:r>
        <w:t>La prohibition fondée sur la connaissance de la clientèle n'est justifiée que si le travailleur est à même, grâce à sa connaissance des clients réguliers et de leurs habitudes, de fournir des prestations analogues à celles de l'employeur et de les détourner de lui (WYLER/HEINZER, Droit du travail, 2014, p. 722).</w:t>
      </w:r>
    </w:p>
    <w:p>
      <w:r>
        <w:t>Par secret d'affaires, il faut entendre les connaissances spécifiques que l'employeur veut tenir secrètes et qui touchent soit à des questions techniques ou financières, soit à l'organisation de l'entreprise. Sont ainsi considérés comme des secrets d'affaires les bases de calcul, les avantages et inconvénients de certains produits, la connaissance des délais de livraison et des temps de montage, la liste de clientèle, les bilans et comptes non publiés, les inventaires, l'information relative aux contrats en cours (WYLER/HEINZER, op. cit., p. 723).</w:t>
      </w:r>
    </w:p>
    <w:p>
      <w:r>
        <w:t>Le secret de fabrication ou d'affaires doit être propre à l'entreprise de l'employeur, de manière exclusive. Ainsi, les connaissances qui peuvent être acquises dans toutes les entreprises de la même branche constituent l'expérience professionnelle du travailleur et ne sont pas des secrets. Des connaissances, même très pointues, constituent de l'expérience professionnelle, dans la mesure où elles peuvent être acquises dans d'autres entreprises de la branche. Il appartient à l'employeur de prouver que les connaissances litigieuses présentent des caractéristiques inconnues des concurrents, qu'elles sont objectivement secrètes et qu'il ne souhaite pas qu'elles soient dévoilées à des concurrents (WYLER/HEINZER, op. cit., p. 723).</w:t>
      </w:r>
    </w:p>
    <w:p>
      <w:r>
        <w:t>Le défaut de réalisation de l'une de ces conditions entraîne la nullité de la clause (WYLER/HEINZER, op. cit., p. 719).</w:t>
      </w:r>
    </w:p>
    <w:p>
      <w:r>
        <w:t>- 8/10 -</w:t>
      </w:r>
    </w:p>
    <w:p>
      <w:r>
        <w:t>C/16950/2015</w:t>
      </w:r>
    </w:p>
    <w:p>
      <w:r>
        <w:t>La prohibition doit être limitée convenablement quant au lieu, au temps et au genre d'affaires, de façon à ne pas compromettre l'avenir économique du travailleur contrairement à l'équité (art. 340a al. 1 CO). Le juge peut réduire selon la libre appréciation une prohibition excessive, en tenant compte de toutes les circonstances; il aura égard, d'une manière équitable, à une éventuelle contre- prestation de l'employeur (art. 340a al. 2 CO).</w:t>
      </w:r>
    </w:p>
    <w:p>
      <w:r>
        <w:t>Lorsque la clause ne contient pas cumulativement les trois limites précitées, elle doit être considérée comme nulle (WYLER/HEINZER, op. cit., p. 725).</w:t>
      </w:r>
    </w:p>
    <w:p>
      <w:r>
        <w:t>En particulier, l'interdiction de concurrence ne saurait s'étendre au-delà du territoire sur lequel l'employeur déploie effectivement son activité. Elle peut en théorie être étendue à d'autres sociétés du groupe dont l'employeur fait partie, à condition cependant que l'employé ait également eu connaissance de la clientèle ou de secrets des autres sociétés du groupe concerné (WYLER/HEINZER, op. cit., p. 725 et 727).</w:t>
      </w:r>
    </w:p>
    <w:p>
      <w:r>
        <w:t>De manière générale, l'interdiction de concurrence ne peut aller au-delà de ce qui est justifié par l'intérêt de l'employeur. D'une part, une prohibition de concurrence n'est donc limitée convenablement quant au lieu, au temps et au genre d'affaires que dans la mesure où la possibilité existe, pour l'employeur de subir un préjudice sensible. D'autre part, l'avenir économique du travailleur ne doit pas être compromis contrairement à l'équité, ce dont il faut juger en comparant les intérêts des deux parties. A défaut d'intérêt digne de protection de l'employeur, la restriction est contraire à l'équité (WYLER/HEINZER, op. cit., p. 727).</w:t>
      </w:r>
    </w:p>
    <w:p>
      <w:r>
        <w:rPr>
          <w:b/>
        </w:rPr>
        <w:t>E. 5.2</w:t>
      </w:r>
    </w:p>
    <w:p>
      <w:r>
        <w:t>En l'espèce, contrairement à ce que soutient la recourante, le Tribunal était fondé à examiner, sous l'angle de la vraisemblance, si les conditions prévues par les articles 340 ss CO étaient réalisées, puisque, comme cela ressort des principes juridiques précités, la clause de non concurrence est nulle si tel n'est pas le cas.</w:t>
      </w:r>
    </w:p>
    <w:p>
      <w:r>
        <w:t>A cet égard, la recourante s'est limitée dans sa requête à indiquer de manière toute générale que la position de cadre de D______ lui avait permis d'avoir connaissance de sa clientèle et de sa stratégie, sans fournir aucune précision sur les informations dont il avait eu connaissance dans ce cadre, par exemple le type de clientèle en cause, les prestations de service concernées ou les aspects de son activité sur lesquels la stratégie en question portait.</w:t>
      </w:r>
    </w:p>
    <w:p>
      <w:r>
        <w:t>Dans la mesure où elle n'a pas précisément décrit quel genre d'information D______ était susceptible de transmettre à son nouvel employeur, elle n'a a fortiori pas rendu vraisemblable, contrairement aux exigences légales, que celles- ci présentaient des caractéristiques inconnues des concurrents, qu'elles étaient objectivement secrètes et qu'elle ne souhaitait pas qu'elles soient dévoilées.</w:t>
      </w:r>
    </w:p>
    <w:p>
      <w:r>
        <w:t>- 9/10 -</w:t>
      </w:r>
    </w:p>
    <w:p>
      <w:r>
        <w:t>C/16950/2015</w:t>
      </w:r>
    </w:p>
    <w:p>
      <w:r>
        <w:t>Il en résulte qu'elle n'a pas non plus rendu vraisemblable que l'utilisation de ces renseignements par son ancien employé était de nature à lui causer un préjudice sensible.</w:t>
      </w:r>
    </w:p>
    <w:p>
      <w:r>
        <w:t>Sur ce point, c'est à juste titre que le Tribunal a retenu que l'existence d'un tel préjudice ne résultait pas du seul fait de l'exercice par D______ d'une activité dans le domaine de la valorisation des déchets.</w:t>
      </w:r>
    </w:p>
    <w:p>
      <w:r>
        <w:t>En outre, la prohibition de concurrence apparaît vraisemblablement excessive quant à sa délimitation géographique, à savoir toute la Suisse, dans la mesure où il n'est pas possible, sur la base des éléments figurants au dossier, de retenir au stade de la vraisemblance que la recourante est active dans toute la Suisse. Le seul fait qu'elle dispose de succursales inscrites aux Registres du commerce de Genève, Fribourg, Bâle et Soleure, ne permet en effet pas de considérer que son activité effective s'étend sur tout le territoire suisse.</w:t>
      </w:r>
    </w:p>
    <w:p>
      <w:r>
        <w:t>Contrairement à ce que soutient la recourante, le genre d'affaires visé par la clause est défini de manière très large, à savoir toute activité exercée dans le domaine du transport et du traitement des déchets, industriels ou non, spéciaux ou non.</w:t>
      </w:r>
    </w:p>
    <w:p>
      <w:r>
        <w:t>De plus, la clause vise également les autres sociétés du groupe auquel la recourante appartient. Or, cette dernière n'a fourni aucun élément permettant de considérer comme vraisemblable que l'employé a également eu connaissance de la clientèle ou de secrets des autres sociétés du groupe concerné.</w:t>
      </w:r>
    </w:p>
    <w:p>
      <w:r>
        <w:t>En définitive, en comparant les intérêts des deux parties, l'on peut retenir que la clause compromet vraisemblablement de manière importante l'avenir économique de D______, puisqu'elle l'empêche d'exercer sa profession, à savoir toute activité en relation avec le transport et le traitement de quelque déchet que ce soit, dans toute la Suisse, alors qu'aucun préjudice sensible subi par la recourante justifiant une telle restriction n'est rendu vraisemblable. La clause de non concurrence paraît ainsi contraire à l'équité.</w:t>
      </w:r>
    </w:p>
    <w:p>
      <w:r>
        <w:t>Compte tenu de ce qui précède, c'est à bon droit que le Tribunal a retenu que la recourante n'avait pas rendu sa créance vraisemblable et qu'il a rejeté la requête de séquestre.</w:t>
      </w:r>
    </w:p>
    <w:p>
      <w:r>
        <w:t>Le recours sera par conséquent également rejeté.</w:t>
      </w:r>
    </w:p>
    <w:p>
      <w:r>
        <w:rPr>
          <w:b/>
        </w:rPr>
        <w:t>E. 6</w:t>
      </w:r>
    </w:p>
    <w:p>
      <w:r>
        <w:t>La recourante, qui succombe, supportera les frais de son recours (art. 106 al. 1 CPC), arrêtés à 750 fr. (art. 48 et 61 OELP) correspondant à l'avance déjà effectuée, acquise à l'Etat de Genève par compensation (art. 111 CPC).</w:t>
      </w:r>
    </w:p>
    <w:p>
      <w:r>
        <w:t>Il n'y a pas lieu d'allouer de dépens. * * * * *</w:t>
      </w:r>
    </w:p>
    <w:p>
      <w:r>
        <w:t>- 10/10 -</w:t>
      </w:r>
    </w:p>
    <w:p>
      <w:r>
        <w:t>C/16950/2015 PAR CES MOTIFS, La Chambre civile : A la forme : Déclare recevable le recours interjeté par A______ SA contre l'ordonnance SQ/374/2015 rendue le 19 août 2015 par le Tribunal de première instance dans la cause C/16950/2015-17 SQP. Au fond : Rejette ce recours. Déboute la recourante de toutes autres conclusions. Sur les frais : Arrête les frais du recours à 750 fr., et les compense avec l'avance effectuée, qui reste acquise à l'Etat de Genève. Les met à la charge de A______ SA.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