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ACJC/1266/2017 vom 9. Mai 2017</w:t>
      </w:r>
    </w:p>
    <w:p>
      <w:r>
        <w:t>GE Cour de justice, 2017-05-09, FR</w:t>
      </w:r>
    </w:p>
    <w:p>
      <w:r>
        <w:rPr>
          <w:b/>
        </w:rPr>
        <w:t xml:space="preserve">Quelle: </w:t>
      </w:r>
      <w:r>
        <w:t>https://mcp.opencaselaw.ch/entscheid/ge_gerichte_ACJC_1266_2017</w:t>
      </w:r>
    </w:p>
    <w:p>
      <w:r>
        <w:t>FR: GE_GERICHTE ACJC/1266/2017 du 9 mai 2017</w:t>
      </w:r>
    </w:p>
    <w:p>
      <w:r>
        <w:t>IT: GE_GERICHTE ACJC/1266/2017 del 9 maggio 2017</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des enfants mineurs, est de nature patrimoniale. La valeur capitalisée de celles-ci au sens de l'art. 92 CPC est en l'espèce supérieure à 10'000 fr., compte tenu des montants litigieux devant le premier juge. La voie de l'appel est dès lors ouverte.</w:t>
      </w:r>
    </w:p>
    <w:p>
      <w:r>
        <w:t>- 5/10 -</w:t>
      </w:r>
    </w:p>
    <w:p>
      <w:r>
        <w:t>C/10243/2015</w:t>
      </w:r>
    </w:p>
    <w:p>
      <w:r>
        <w:rPr>
          <w:b/>
        </w:rPr>
        <w:t>E. 1.2</w:t>
      </w:r>
    </w:p>
    <w:p>
      <w:r>
        <w:t>Interjeté dans le délai utile et selon la forme prescrite par la loi (art. 311 al. 1 CPC), l'appel est recevable.</w:t>
      </w:r>
    </w:p>
    <w:p>
      <w:r>
        <w:rPr>
          <w:b/>
        </w:rPr>
        <w:t>E. 1.3</w:t>
      </w:r>
    </w:p>
    <w:p>
      <w:r>
        <w:t>L'appelante a produit devant la Cour une pièce nouvelle, à savoir un courrier de son employeur du 19 juin 2017.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En l'espèce, l'intimée ne pouvait pas produire devant le Tribunal le courrier de son employeur du 19 juin 2017, lequel reflète la situation la plus actuelle en ce qui concerne ses possibilités d'augmenter son taux d'activité auprès de son employeur. Ledit courrier est dès lors recevable.</w:t>
      </w:r>
    </w:p>
    <w:p>
      <w:r>
        <w:rPr>
          <w:b/>
        </w:rPr>
        <w:t>E. 1.4</w:t>
      </w:r>
    </w:p>
    <w:p>
      <w:r>
        <w:t>L'appel peut être formé pour violation du droit (art. 310 let. a CPC) et constatation inexacte des faits (art. 310 let. b CPC). Le juge d'appel dispose ainsi d'un plein pouvoir d'examen de la cause en fait et en droit (ATF 138 III 374 consid. 4.3.1).</w:t>
      </w:r>
    </w:p>
    <w:p>
      <w:r>
        <w:rPr>
          <w:b/>
        </w:rPr>
        <w:t>E. 2</w:t>
      </w:r>
    </w:p>
    <w:p>
      <w:r>
        <w:t>L'appelant conteste le jugement attaqué en tant qu'il n'a pas condamné l'intimée à verser une contribution à l'entretien des enfants. Il fait valoir que celle-ci devrait augmenter son taux d'activité.</w:t>
      </w:r>
    </w:p>
    <w:p>
      <w:r>
        <w:rPr>
          <w:b/>
        </w:rPr>
        <w:t>E. 2.1</w:t>
      </w:r>
    </w:p>
    <w:p>
      <w:r>
        <w:t>Dans la procédure de divorce, le juge règle les droits et les devoirs des père et mère conformément aux dispositions régissant les effets de la filiation, notamment celles relatives à la contribution d'entretien (art. 133 al. 1 ch. 4 CC). L'entretien est assuré par les soins et l'éducation ou, lorsque l'enfant n'est pas sous la garde de ses père et mère, par des prestations pécuniaires (art. 276 al. 2 CC). En vertu de l'art. 285 al. 1 CC,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5A_134/2016 du 18 juillet 2016 consid. 3; 5A_462/2010 du 24 octobre 2011 consid. 4.2 non publié in ATF 137 III 586).</w:t>
      </w:r>
    </w:p>
    <w:p>
      <w:r>
        <w:t>- 6/10 -</w:t>
      </w:r>
    </w:p>
    <w:p>
      <w:r>
        <w:t>C/10243/2015 L'obligation d'entretien trouve sa limite dans la capacité contributive du débirentier, en ce sens que le minimum vital de celui-ci doit être préservé (ATF 140 III 337 consid. 4.3;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128 III 4 consid. 4a; arrêt 5A_831/2016 du 21 mars 2017 consid. 3.3.1).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La loi n'impose pas de méthode de calcul de la contribution d'entretien (ATF 128 III 411 consid. 3.2.2; arrêt 5A_134/2016 du 18 juillet 2016 consid. 3); sa fixation relève de l'appréciation du juge, qui applique les règles du droit et de l'équité (art. 4 CC).</w:t>
      </w:r>
    </w:p>
    <w:p>
      <w:r>
        <w:rPr>
          <w:b/>
        </w:rPr>
        <w:t>E. 2.2</w:t>
      </w:r>
    </w:p>
    <w:p>
      <w:r>
        <w:t>En l'espèce, l'appelant évalue dans son acte d'appel ses revenus à 7'380 fr. et allègue des charges d'un montant total de 3'531 fr., ce qui lui laisse un disponible de 3'849 fr. Il soutient qu'un revenu hypothétique devrait être imputé à l'intimée, laquelle pourrait percevoir un revenu net de 5'195 fr. si elle travaillait à temps complet. Elle est jeune (40 ans) et n'a pas fait état de problèmes de santé l'empêchant d'augmenter son taux d'activité. Compte tenu de ses obligations d'entretien à l'égard de ses enfants, il peut être exigé d'elle qu'elle épuise sa capacité maximale de travail et donc, augmente son temps de travail. Elle a produit en appel un</w:t>
      </w:r>
    </w:p>
    <w:p>
      <w:r>
        <w:t>- 7/10 -</w:t>
      </w:r>
    </w:p>
    <w:p>
      <w:r>
        <w:t>C/10243/2015 courrier de son employeur du 19 juin 2017 selon lequel il n'est pas en mesure de lui proposer d'augmenter son taux d'activité à court ou à long terme. Elle n'a toutefois produit aucune recherche auprès d'un autre employeur. Or, il n'est pas démontré qu'elle ne pourrait pas obtenir ailleurs un poste à temps complet, dans l'un ou l'autre des domaines dans lesquels elle a travaillé pour son employeur actuel, qui sont variés. Un revenu hypothétique sera donc pris en considération. Un temps d'adaptation jusqu'à la fin de l'année lui sera toutefois laissé pour augmenter son taux d'activité. En tenant compte d'un emploi à plein temps, son revenu mensuel brut peut être évalué, selon les statistiques cantonales (calculateur en ligne de l'Observatoire genevois du marché du travail), à environ 5'100 fr. pour un emploi dans le nettoyage de vêtements ou la restauration dans un EMS, soit environ 4'400 fr. nets. Compte tenu de ses charges de 3'365 fr., l'intimée dispose d'un solde de 1'035 fr. Concernant les charges des enfants, l'appelant soutient que ceux-ci ne perçoivent pas de subsides pour leur assurance maladie, ce qui n'est pas contesté de manière motivée par l'intimée. Il n'apparait pas qu'un subside serait effectivement versé actuellement, de sorte que les montants invoqués à ce titre de 140 fr. et 128 fr. seront pris en compte. Concernant les frais de cours d'appui de D______ de 179 fr., l'appelant a produit une facture de 45 fr., laquelle représente une taxe d'inscription à de tels cours. Il n'est pas démontré que l'enfant suivrait régulièrement ces cours et le montant de 179 fr. invoqué n'est donc pas établi. Il ne sera pas pris en compte. Seul le montant de 100 fr. retenu par le Tribunal à titre de frais extra et parascolaires sera donc retenu pour D______. Concernant les frais dentaires non couverts, l'appelant a produit une facture pour chaque enfant. Il ne démontre toutefois pas que de tels coûts seraient récurrents et le montant de base mensuel inclut déjà des frais de santé. Les montants de 15 fr. 30 et 11 fr. ne seront donc pas pris en compte. Les charges des enfants peuvent donc être évalués à 1'045 fr. pour C______, soit 260 fr. de part de loyer (15%), 140 fr. d'assurance maladie, 45 fr. de transports publics et 600 fr. d'entretien de base LP et à 1'133 fr. pour D______, soit 260 fr. de part de loyer (15%), 128 fr. d'assurance maladie, 45 fr. de transports publics, 100 fr. (estimation) de frais extra et parascolaires et 600 fr. d'entretien de base LP. De ces montants doivent encore être déduites les allocations familiales de, respectivement, 400 fr. et 300 fr., de sorte que les charges des enfants peuvent être évaluées, en définitive, à, respectivement, 645 fr. et 833 fr. 2.3.1 Le disponible de 3'849 fr. dont bénéficie l'appelant est certes supérieur à celui de 1'035 fr. dont dispose l'intimée. L'appelant assure toutefois l'entretien des</w:t>
      </w:r>
    </w:p>
    <w:p>
      <w:r>
        <w:t>- 8/10 -</w:t>
      </w:r>
    </w:p>
    <w:p>
      <w:r>
        <w:t>C/10243/2015 enfants en nature de manière prépondérante. Le fait que l'intimée en a la garde deux jours avec nuits consécutives par semaine et la moitié des vacances scolaires ne constitue pas une prise en charge d'une ampleur telle qu'elle justifie une réduction de la contribution d'entretien pour ce motif. De plus, même si la capacité financière de chacun des parents est différente, l'intimée bénéficie d'un disponible d'environ 1'000 fr. et il apparait dès lors équitable de mettre une partie, à tout le moins, de la charge financière des enfants à sa charge. La part de l'intimée sera fixée, en équité, au vu des disponibles respectifs des parents, à 300 fr. par enfant jusqu'à 18 ans et 350 fr. au-delà, mais jusqu'à 25 ans au plus, en cas d'études ou de formation professionnelle suivies de manière sérieuse et régulière et ce, dès le 1er janvier 2018. Le ch. 7 du dispositif du jugement attaqué sera dès lors annulé et modifié en ce sens.</w:t>
      </w:r>
    </w:p>
    <w:p>
      <w:r>
        <w:rPr>
          <w:b/>
        </w:rPr>
        <w:t>E. 3</w:t>
      </w:r>
    </w:p>
    <w:p>
      <w:r>
        <w:t>Au vu de l'issue du litige et de sa nature (art. 106 al. 1 CPC et 107 al. 1 let. c CPC), les frais judiciaires d'appel seront arrêtés à 1'250 fr. et mis à la charge des parties pour moitié chacune, ainsi qu'en avait déjà jugé le Tribunal pour les frais de première instance, dont le jugement ne sera pas modifié à cet égard. Ils seront compensés avec l'avance fournie, qui reste acquise à l'Etat de Genève. L'intimée étant au bénéfice de l'assistance judiciaire, sa part des frais sera provisoirement laissée à la charge de l'Etat de Genève, lequel pourra en réclamer le remboursement ultérieurement si les conditions de l'art. 123 CPC sont remplies. Les Services financiers du Pouvoir judiciaire seront invités à restituer à l'appelant la somme de 625 fr.</w:t>
      </w:r>
    </w:p>
    <w:p>
      <w:r>
        <w:t>Chaque partie supportera ses propres dépens d'appel (art. 107 al. 1 let. c CPC). * * * * * *</w:t>
      </w:r>
    </w:p>
    <w:p>
      <w:r>
        <w:t>- 9/10 -</w:t>
      </w:r>
    </w:p>
    <w:p>
      <w:r>
        <w:t>C/10243/2015 PAR CES MOTIFS, La Chambre civile : A la forme : Déclare recevable l'appel interjeté par A_____ contre le jugement JTPI/6153/2017 rendu le 9 mai 2017 par le Tribunal de première instance dans la cause C/10243/2015-2. Au fond : Annule le chiffre 7 de son dispositif. Cela fait, statuant à nouveau : Condamne B______ à verser à A______, par mois et d'avance, allocations familiales non comprises, dès le 1er janvier 2018, la somme de 300 fr. à titre de contribution à l'entretien de chacun des enfants C______ et D______ jusqu'à 18 ans et de 350 fr. au- delà, mais jusqu'à 25 ans au plus, en cas d'études ou de formation professionnelle suivies de manière sérieuse et régulière. Sur les frais : Arrête les frais judiciaires d'appel à 1'250 fr., les met à la charge des parties pour moitié chacune et les compense partiellement avec l'avance fournie par A______, qui reste acquise à l'Etat de Genève à concurrence de 625 fr. Dit que la part de B______ est provisoirement supportée par l'Etat de Genève. Invite les Services financiers du Pouvoir judiciaire à restituer à A______ la somme de 625 fr. Dit que chaque partie supporte ses propres dépens d'appel. Siégeant : Monsieur Laurent RIEBEN, président; Monsieur Patrick CHENAUX, Madame Fabienne GEISINGER-MARIETHOZ, juges; Madame Anne-Lise JAQUIER, greffière. Le président : Laurent RIEBEN</w:t>
      </w:r>
    </w:p>
    <w:p>
      <w:r>
        <w:t>La greffière : Anne-Lise JAQUIER</w:t>
      </w:r>
    </w:p>
    <w:p>
      <w:r>
        <w:t>- 10/10 -</w:t>
      </w:r>
    </w:p>
    <w:p>
      <w:r>
        <w:t>C/10243/2015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