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ACJC/1257/2017 vom 20. Oktober 2017</w:t>
      </w:r>
    </w:p>
    <w:p>
      <w:r>
        <w:t>GE Cour de justice, 2017-10-20, FR</w:t>
      </w:r>
    </w:p>
    <w:p>
      <w:r>
        <w:rPr>
          <w:b/>
        </w:rPr>
        <w:t xml:space="preserve">Quelle: </w:t>
      </w:r>
      <w:r>
        <w:t>https://mcp.opencaselaw.ch/entscheid/ge_gerichte_ACJC_1257_2017</w:t>
      </w:r>
    </w:p>
    <w:p>
      <w:r>
        <w:t>FR: GE_GERICHTE ACJC/1257/2017 du 20 octobre 2017</w:t>
      </w:r>
    </w:p>
    <w:p>
      <w:r>
        <w:t>IT: GE_GERICHTE ACJC/1257/2017 del 20 ottobre 2017</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les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par renvoi de l'art. 276 al. 1 CPC; ATF 129 III 417 consid. 2.1.2; arrêts du Tribunal fédéral</w:t>
      </w:r>
    </w:p>
    <w:p>
      <w:r>
        <w:t>- 5/9 -</w:t>
      </w:r>
    </w:p>
    <w:p>
      <w:r>
        <w:t>C/18094/2016 5A_386/2014 du 1er décembre 2014 consid. 6.2, 5A_757/2013 du 14 juillet 2014 consid. 2.1 et 5A_574/2013 du 9 octobre 2013).</w:t>
      </w:r>
    </w:p>
    <w:p>
      <w:r>
        <w:rPr>
          <w:b/>
        </w:rPr>
        <w:t>E. 1.3</w:t>
      </w:r>
    </w:p>
    <w:p>
      <w:r>
        <w:t>L'intimée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l'intimée sont recevables, à l'exception de l'échange de courriers électroniques intervenu le 21 mars 2017, qui aurait pu être produit devant le premier juge, étant toutefois relevé que cette pièce n'est en tout état pas déterminante pour l'issue du litige.</w:t>
      </w:r>
    </w:p>
    <w:p>
      <w:r>
        <w:rPr>
          <w:b/>
        </w:rPr>
        <w:t>E. 2</w:t>
      </w:r>
    </w:p>
    <w:p>
      <w:r>
        <w:t>La présente cause présente des éléments d'extranéité en raison de la nationalité des parties et du domicile de l'intimée.</w:t>
      </w:r>
    </w:p>
    <w:p>
      <w:r>
        <w:t>En l'espèce, les parties ne contestent, à juste titre, pas la compétence des autorités judiciaires genevoises (62 al. 1 et 64 al. 1 LDIP) et l'application du droit suisse (art. 49, 62 al. 2 et 64 al. al. 2 LDIP; art. 8 al. 1 de la Convention de La Haye sur la loi applicable aux obligations alimentaires du 2 octobre 1973) au présent litige.</w:t>
      </w:r>
    </w:p>
    <w:p>
      <w:r>
        <w:rPr>
          <w:b/>
        </w:rPr>
        <w:t>E. 3</w:t>
      </w:r>
    </w:p>
    <w:p>
      <w:r>
        <w:t>L'appelant sollicite la suppression, subsidiairement la suspension, de la contribution à l'entretien de l'intimée. Il reproche au premier juge d'avoir retenu que la situation ne présentait pas un caractère d'urgence et qu'il n'avait pas démontré l'existence d'un intérêt supérieur à celui de sa partie adverse.</w:t>
      </w:r>
    </w:p>
    <w:p>
      <w:r>
        <w:t>Il fait valoir que la raison pour laquelle une contribution à l'entretien de l'intimée avait été fixée - malgré le jeune âge de cette dernière, un mariage court et une vie commune encore plus brève - était que la garde de leur enfant lui avait été confiée à l'issue de la procédure de divorce. Or il assumait cette garde. L'intimée vivait en concubinage stable et qualifié. Sa requête reposait ainsi sur deux faits nouveaux. Par ailleurs, il y avait, selon lui, urgence à statuer sur mesures provisionnelles, puisque l'intimée n'était pas domiciliée en Suisse, ce qui rendait toute mesure d'exécution forcée pour récupérer l'entretien non dû extrêmement difficile. Enfin, l'intimée n'avait rendu vraisemblable aucun intérêt au maintien de son entretien, celle-ci prétendant uniquement utiliser la contribution pour financer le droit de visite, ce qu'elle n'avait, selon lui, aucunement justifié.</w:t>
      </w:r>
    </w:p>
    <w:p>
      <w:r>
        <w:t>L'intimée conteste, pour sa part, l'existence d'un concubinage qualifié avec son compagnon. Elle relève que ce point est, en tout état, sans pertinence sur ses obligations parentales vis-à-vis de sa fille, pour lesquelles elle consacre la contribution qu'elle reçoit, et que malgré la modification du droit de garde, cette contribution est toujours liée à l'enfant, de sorte que la situation n'apparait pas</w:t>
      </w:r>
    </w:p>
    <w:p>
      <w:r>
        <w:t>- 6/9 -</w:t>
      </w:r>
    </w:p>
    <w:p>
      <w:r>
        <w:t>C/18094/2016 limpide et ne justifie pas le prononcé de mesures provisionnelles. Par ailleurs, il n'existe aucune urgence à statuer et la pesée des intérêts en présence commande de préserver l'exercice des droits parentaux.</w:t>
      </w:r>
    </w:p>
    <w:p>
      <w:r>
        <w:rPr>
          <w:b/>
        </w:rPr>
        <w:t>E. 3.1</w:t>
      </w:r>
    </w:p>
    <w:p>
      <w:r>
        <w:t>Si la situation du débiteur ou du créancier change notablement et durablement, la rente due à un ex-époux peut être diminuée, supprimée ou suspendue pour une durée déterminée; une amélioration de la situation du créancier n'est prise en compte que si une rente permettant d'assurer son entretien convenable a pu être fixée dans le jugement de divorce (art. 129 al. 1 CC). La modification de la pension suppose que des faits nouveaux importants et durables interviennent dans la situation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 du Tribunal fédéral 5A_373/2015 du 2 juin 2016 consid. 4.3.1).</w:t>
      </w:r>
    </w:p>
    <w:p>
      <w:r>
        <w:rPr>
          <w:b/>
        </w:rPr>
        <w:t>E. 3.2</w:t>
      </w:r>
    </w:p>
    <w:p>
      <w:r>
        <w:t>Dans le cadre d'une procédure de divorce (art. 274 ss CPC) - et par analogie d'une modification de jugement de divorce -,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t>- 7/9 -</w:t>
      </w:r>
    </w:p>
    <w:p>
      <w:r>
        <w:t>C/18094/2016</w:t>
      </w:r>
    </w:p>
    <w:p>
      <w:r>
        <w:rPr>
          <w:b/>
        </w:rPr>
        <w:t>E. 3.3</w:t>
      </w:r>
    </w:p>
    <w:p>
      <w:r>
        <w:t>La réduction ou la suppression des contributions d'entretien par des mesures provisoires est subordonnée à des circonstances exceptionnelles et n'est justifiée qu'en cas d'urgence, dès lors que le jugement de divorce doit être exécuté et produit ses effets aussi longtemps que le jugement de modification n'est lui-même pas entré en force. Des exceptions à ce principe ne doivent être admises qu'avec retenue. La modification sur mesures provisoires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On peut exiger du demandeur en modification du jugement de divorce qu'il attende l'issue du procès et, jusque-là, s'acquitte des prestations mises à sa charge par une décision exécutoire, les droits accordés par cette décision à la partie adverse devant être protégés et prévaloir sur les siens (ATF 118 II 228 consid. 3b; arrêt du Tribunal fédéral 5A_923/2016 du 4 avril 2017 consid. 1.1).</w:t>
      </w:r>
    </w:p>
    <w:p>
      <w:r>
        <w:rPr>
          <w:b/>
        </w:rPr>
        <w:t>E. 3.4</w:t>
      </w:r>
    </w:p>
    <w:p>
      <w:r>
        <w:t>En l'espèce, il convient de considérer, à l'instar du premier juge, que les circonstances ne présentent pas un caractère exceptionnel et d'urgence qui justifierait la suppression ou la suspension de la contribution à l'entretien de l'intimée sur mesures provisionnelles. En effet, l'appelant fonde sa requête sur le fait que les besoins et la situation financière de l'intimée se seraient modifiés depuis le jugement de divorce; il n'allègue pas ne plus être en mesure de pouvoir s'acquitter de la contribution litigieuse ou encore que ce versement représenterait une charge excessive pour lui au vu des capacités financières respectives des parties. On ne saurait suivre l'appelant lorsqu'il soutient que le premier juge a implicitement retenu l'existence d'une urgence à statuer par le simple fait d'avoir fixé une audience sur le fond rapidement après le prononcé de la décision litigieuse. Les éventuelles difficultés qu'il pourrait rencontrer dans le cadre d'une action en répétition de l'indu en raison du domicile étranger de la crédirentière ne sont pas, à elles seules, un élément déterminant. Enfin, l'appelant n'a pas rendu vraisemblable un intérêt supérieur à celui de l'intimée, qui allègue ne percevoir aucun revenu propre et invoque un intérêt à préserver l'exercice des droits parentaux.</w:t>
      </w:r>
    </w:p>
    <w:p>
      <w:r>
        <w:t>Partant, l'appelant sera débouté et l'ordonnance entreprise confirmée.</w:t>
      </w:r>
    </w:p>
    <w:p>
      <w:r>
        <w:rPr>
          <w:b/>
        </w:rPr>
        <w:t>E. 4</w:t>
      </w:r>
    </w:p>
    <w:p>
      <w:r>
        <w:t>Les frais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2'000 fr. (art. 31 et 37 RTFMC). Au vu de l'issue du litige, ils seront mis à la charge de l'appelant (art. 95, 104 al. 1, 105 et 106 al. 1 CPC).</w:t>
      </w:r>
    </w:p>
    <w:p>
      <w:r>
        <w:t>- 8/9 -</w:t>
      </w:r>
    </w:p>
    <w:p>
      <w:r>
        <w:t>C/18094/2016 Compte tenu de la nature du litige et par équité, chaque partie supportera ses propres dépens d'appel (art. 107 al. 1 let. c CPC).</w:t>
      </w:r>
    </w:p>
    <w:p>
      <w:r>
        <w:rPr>
          <w:b/>
        </w:rPr>
        <w:t>E. 5</w:t>
      </w:r>
    </w:p>
    <w:p>
      <w:r>
        <w:t>L'arrêt de la Cour, statuant sur mesures provisionnelles dans la procédure en divorce, est susceptible d'un recours en matière civile, les moyens étant limités en application de l'art. 98 LTF (ATF 133 III 393 consid. 5.1). * * * * *</w:t>
      </w:r>
    </w:p>
    <w:p>
      <w:r>
        <w:t>- 9/9 -</w:t>
      </w:r>
    </w:p>
    <w:p>
      <w:r>
        <w:t>C/18094/2016 PAR CES MOTIFS, La Chambre civile : A la forme : Déclare recevable l'appel interjeté le 24 avril 2017 par A______ contre l'ordonnance OTPI/185/2017 rendue le 11 avril 2017 par le Tribunal de première instance dans la cause C/18094/2016-22. Au fond : Confirme l'ordonnance entreprise. Déboute les parties de toutes autres conclusions. Sur les frais : Arrête les frais judiciaires d'appel à 2'000 fr. et les met à la charge d'A______.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