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ACJC/1257/2015 vom 22. Oktober 2015</w:t>
      </w:r>
    </w:p>
    <w:p>
      <w:r>
        <w:t>GE Cour de justice, 2015-10-22, FR</w:t>
      </w:r>
    </w:p>
    <w:p>
      <w:r>
        <w:rPr>
          <w:b/>
        </w:rPr>
        <w:t xml:space="preserve">Quelle: </w:t>
      </w:r>
      <w:r>
        <w:t>https://mcp.opencaselaw.ch/entscheid/ge_gerichte_ACJC_1257_2015</w:t>
      </w:r>
    </w:p>
    <w:p>
      <w:r>
        <w:t>FR: GE_GERICHTE ACJC/1257/2015 du 22 octobre 2015</w:t>
      </w:r>
    </w:p>
    <w:p>
      <w:r>
        <w:t>IT: GE_GERICHTE ACJC/1257/2015 del 22 ottobre 2015</w:t>
      </w:r>
    </w:p>
    <w:p>
      <w:pPr>
        <w:pStyle w:val="Heading2"/>
      </w:pPr>
      <w:r>
        <w:t>Erwägungen</w:t>
      </w:r>
    </w:p>
    <w:p>
      <w:r>
        <w:rPr>
          <w:b/>
        </w:rPr>
        <w:t>E. 1</w:t>
      </w:r>
    </w:p>
    <w:p>
      <w:r>
        <w:t>1.1.1 Les jugements de divorce sont susceptibles d'appel si l'affaire est non pécuniaire ou si, pécuniaire, la valeur litigieuse au dernier état des conclusions devant le Tribunal de première instance atteint 10'000 fr. au moins (art. 308 al. 1 let. a et al. 2 CPC). En l'espèce, la cause porte tant sur des questions non patrimoniales, telles que l'étendue de la garde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1.1.2 L'appel a été formé dans le délai et selon la forme prescrits par la loi (art. 130, 131, 308 al. 1 let. a et 311 al. 1 CPC). Il est ainsi recevable. 1.2.1 L'appel est également dirigé contre la décision prise sur mesures provisionnelles (art. 308 al. 1 let. b CPC), dont la valeur litigieuse dépasse 10'000 fr. compte tenu de la contribution de 2'150 fr., contestée à hauteur de 1'150 fr. par mois (2'150 fr. – 1'000 fr.) au dernier état des conclusions de première instance (art. 308 al. 2 et 92 al. 2 CPC). 1.2.2 L'appel a été introduit dans les dix jours à compter de la notification de la décision sur mesures provisionnelles et selon la forme prescrite, la présente cause étant soumise à la procédure sommaire (art. 248 let. d, 311 al. 1 et 314 al. 1 CPC). Il est ainsi recevable.</w:t>
      </w:r>
    </w:p>
    <w:p>
      <w:r>
        <w:t>- 11/24 -</w:t>
      </w:r>
    </w:p>
    <w:p>
      <w:r>
        <w:t>C/22110/2013</w:t>
      </w:r>
    </w:p>
    <w:p>
      <w:r>
        <w:rPr>
          <w:b/>
        </w:rPr>
        <w:t>E. 2</w:t>
      </w:r>
    </w:p>
    <w:p>
      <w:r>
        <w:t>L'intimée étant de nationalité bolivienne, la présente cause revêt un caractère international. Dans la mesure où les parties et leur enfant mineur des parties sont domiciliés dans le canton de Genève, le premier juge a retenu à bon droit la compétence des autorités genevoises (art. 59 al. 1 let a, 62, 63 al. 1 et 79 al. 1 LDIP) ainsi que l'application du droit suisse (art. 49, 61 al. 1, 62 al. 2 et 3, 63 al. 2, 83 al. 1 LDIP et 4 de la Convention de La Haye du 2 octobre 1973 sur la loi applicable aux obligations alimentaires), ce qui n'est au demeurant pas contesté par les parties.</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3, 7 à 10 et 15 du dispositif au fond du jugement querellé, non remis en cause par l'appelant, sont entrés en force de chose jugée. En revanche, les chiffres 2 sur mesures provisionnelles et 13 et 14 au fond, relatifs aux frais de première instance, pourront encore être revus d'office en cas d'annulation de tout ou partie du jugement entrepris dans le cadre du présent appel (art. 318 al. 3 CPC).</w:t>
      </w:r>
    </w:p>
    <w:p>
      <w:r>
        <w:rPr>
          <w:b/>
        </w:rPr>
        <w:t>E. 4</w:t>
      </w:r>
    </w:p>
    <w:p>
      <w:r>
        <w:t>La Cour revoit la cause en fait et en droit avec un plein pouvoir d'examen (art. 310 CPC). S'agissant du sort de l'enfant mineur,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liquidation du régime matrimonial (art. 277 CPC).</w:t>
      </w:r>
    </w:p>
    <w:p>
      <w:r>
        <w:rPr>
          <w:b/>
        </w:rPr>
        <w:t>E. 5.1</w:t>
      </w:r>
    </w:p>
    <w:p>
      <w:r>
        <w:t>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- 12/24 -</w:t>
      </w:r>
    </w:p>
    <w:p>
      <w:r>
        <w:t>C/22110/2013 Dans les causes de droit matrimonial concernant les enfants mineurs, dans lesquelles les maximes d'office et inquisitoire illimitée s'appliquent, la Cour de céans admet tous les novas (arrêts publiés ACJC/456/2015 du 24 avril 2015 consid 1.3; ACJC/267/2015 du 6 mars 2015 consid. 1.3; ACJC/480/2014 du 11 avril 2014 consid. 1.4).</w:t>
      </w:r>
    </w:p>
    <w:p>
      <w:r>
        <w:rPr>
          <w:b/>
        </w:rPr>
        <w:t>E. 5.2</w:t>
      </w:r>
    </w:p>
    <w:p>
      <w:r>
        <w:t>En l'espèce, les pièces versées par les parties devant la Cour sont relatives à la prise en charge de l'enfant ou permettent de déterminer la situation financière de chacune d'elles et comportent les données nécessaires pour statuer sur la quotité des aliments à verser pour l'entretien de l'enfant. Les documents concernés, ainsi que les éléments de faits qu'ils comportent, seront donc pris en considération. En revanche, l'appelant a produit un extrait bancaire de son compte auprès de la BANQUE D______ devant le premier juge sans toutefois en faire mention dans ses écritures et sans alléguer que celui-ci devait être pris en compte dans la liquidation du régime matrimonial, ni même que les 1'600 fr. prélevés sur ce compte auraient été utilisés pour les besoins du ménage. Par conséquent, ces allégués relatifs aux dépenses effectuées au débit de ce compte, dans la mesure où il s'agit d'allégués nouveaux portant sur des faits antérieurs au prononcé du jugement, sont irrecevables.</w:t>
      </w:r>
    </w:p>
    <w:p>
      <w:r>
        <w:rPr>
          <w:b/>
        </w:rPr>
        <w:t>E. 6</w:t>
      </w:r>
    </w:p>
    <w:p>
      <w:r>
        <w:t>En appel, l'appelant a modifié ses conclusions tant sur mesures provisionnelles que sur liquidation du régime matrimonial.</w:t>
      </w:r>
    </w:p>
    <w:p>
      <w:r>
        <w:rPr>
          <w:b/>
        </w:rPr>
        <w:t>E. 6.1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6.2.1 En l'espèce, dans ses dernières écritures sur mesures provisionnelles devant le Tribunal, l'appelant a conclu à que la contribution à l'entretien de la famille soit fixé à 1'000 fr. par mois dès le 21 janvier 2014. Devant la Cour, l'appelant a conclu à ce que ce montant soit réduit à 701 fr. Cette conclusion nouvelle repose sur des faits allégués et instruits en première instance - charges des parties et de l'enfant, temps de garde - et non pas sur des faits nouveaux. L'argumentation de l'appelant consiste en une critique du jugement. Faute de motiver spécialement ses conclusions nouvelles sur des faits nouveaux au sens de l'art. 317 al. 2 CPC, l'appelant ne peut pas modifier les conclusions qu'il a prises en dernier lieu devant le premier juge.</w:t>
      </w:r>
    </w:p>
    <w:p>
      <w:r>
        <w:t>- 13/24 -</w:t>
      </w:r>
    </w:p>
    <w:p>
      <w:r>
        <w:t>C/22110/2013 Ses conclusions, auxquelles l'intimée s'oppose, sont dès lors irrecevables en tant qu'elles ne sont pas conformes à celles prises en première instance. S'agissant de conclusions relatives au sort de l'enfant mineur, la Cour n'est toutefois pas liée par les conclusions des parties, de sorte qu'il sera entré en matière indépendamment de l'irrecevabilité des conclusions de l'appelant sur ce point. 6.2.2 Le Tribunal a constaté que l'appelant devait un montant de 4'382 fr. 55 à l'intimée au titre de la liquidation du régime matrimonial mais a condamné celui- ci à verser à la seconde la somme de 4'985 fr. 85 dès lors qu'il s'y était engagé dans ses dernière conclusions. Devant la Cour, l'appelant conclut à ce que ce montant soit réduit à 3'385 fr. 85. Il n'expose toutefois pas en quoi cette diminution reposerait sur des faits ou des moyens de preuve nouveaux, étant rappelé que son allégué relatif aux dépenses effectuées par le biais de son compte auprès de la BANQUE D______ est irrecevable en appel. Par conséquent, les conclusions de l'appelant sont irrecevables en tant qu'elles tendent au paiement de sommes inférieures à 4'985 fr. 85 au titre de la liquidation du régime matrimonial et la Cour ne saurait statuer en- deçà de ce montant.</w:t>
      </w:r>
    </w:p>
    <w:p>
      <w:r>
        <w:rPr>
          <w:b/>
        </w:rPr>
        <w:t>E. 7.1</w:t>
      </w:r>
    </w:p>
    <w:p>
      <w:r>
        <w:t>Par économie de procédure, les deux appels, sur mesures provisionnelles et au fond, seront traités dans le même arrêt.</w:t>
      </w:r>
    </w:p>
    <w:p>
      <w:r>
        <w:t>Les mesures provisionnelles sollicitées par l'intimé portant sur les mêmes points que ceux examinés au fond, il sera statué sur celles-ci à l'issue de l'examen de la procédure au fond (cf. ch. 14 infra).</w:t>
      </w:r>
    </w:p>
    <w:p>
      <w:r>
        <w:rPr>
          <w:b/>
        </w:rPr>
        <w:t>E. 8</w:t>
      </w:r>
    </w:p>
    <w:p>
      <w:r>
        <w:t>L'intimée sollicite à titre préalable que la Cour ordonne des mesures probatoires, soit l'audition des parties, de deux témoins et à ce que le SPMi établisse un rapport complémentaire.</w:t>
      </w:r>
    </w:p>
    <w:p>
      <w:r>
        <w:rPr>
          <w:b/>
        </w:rPr>
        <w:t>E. 8.1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w:t>
      </w:r>
    </w:p>
    <w:p>
      <w:r>
        <w:t>- 14/24 -</w:t>
      </w:r>
    </w:p>
    <w:p>
      <w:r>
        <w:t>C/22110/2013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w:t>
      </w:r>
    </w:p>
    <w:p>
      <w:r>
        <w:rPr>
          <w:b/>
        </w:rPr>
        <w:t>E. 8.2</w:t>
      </w:r>
    </w:p>
    <w:p>
      <w:r>
        <w:t>En l'espèce, les parties ont pu largement s'exprimer, par écrit, durant la procédure d'appel. Par ailleurs, la Cour s'estime suffisamment renseignée pour juger du litige. L'intimée sera en conséquence déboutée de ses conclusions sur ce point.</w:t>
      </w:r>
    </w:p>
    <w:p>
      <w:r>
        <w:rPr>
          <w:b/>
        </w:rPr>
        <w:t>E. 9</w:t>
      </w:r>
    </w:p>
    <w:p>
      <w:r>
        <w:t>Le principe de la garde alternée n'est pas remis en cause par les parties, seule l'étendue de cette garde est critiquée par l'appelant qui désire que celle-ci se répartisse à parts strictement égales entre les parents. 9.1.1 Les nouvelles dispositions régissant les effets de la filiation, entrées en vigueur le 1er juillet 2014, soit pendant la procédure de première instance, sont applicables en l'espèce (arrêt du Tribunal fédéral 5A_92/2014 du 25 juillet 2014 consid. 2.1). 9.1.2 En cas de divorce, le juge règle les droits et les devoirs des père et mère, notamment l'attribution de l'autorité parentale et de la garde, conformément aux dispositions régissant les effets de la filiation (art. 133 al. 1 ch. 1 et 2 CC).</w:t>
      </w:r>
    </w:p>
    <w:p>
      <w:r>
        <w:t>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(arrêts du Tribunal fédéral 5A_345/2014 du 4 août 2014 consid. 4.2 et 5A_866/2013 du 16 avril 2014 consid. 5.2), laquelle est devenue la règle depuis l'entrée en vigueur le 1er juillet 2014 des nouvelles dispositions relatives à l'autorité parentale (art. 296 et ss, art. 7b al. 1 et 12 al. 1 Tif. fin et arrêt du Tribunal fédéral 5A_92/2014 du 23 juillet 2014 consid. 2.1). Sous l'ancien comme sous le nouveau droit, la garde conjointe consacre l'intérêt de l'enfant comme critère principal (arrêt du Tribunal fédéral 5A_866/2013 du 16 avril 2014 consid. 5.2 et 5.3).</w:t>
      </w:r>
    </w:p>
    <w:p>
      <w:r>
        <w:t>- 15/24 -</w:t>
      </w:r>
    </w:p>
    <w:p>
      <w:r>
        <w:t>C/22110/2013</w:t>
      </w:r>
    </w:p>
    <w:p>
      <w:r>
        <w:rPr>
          <w:b/>
        </w:rPr>
        <w:t>E. 9.2</w:t>
      </w:r>
    </w:p>
    <w:p>
      <w:r>
        <w:t>En l'espèce, le Tribunal, suivant l'avis du SPMi, a maintenu le système de garde alternée pratiqué par les parents depuis le mois de septembre 2013. L'enfant évoluant favorablement dans la solution mise en place par ses parents depuis plusieurs mois et qui consiste à voir ses deux parents dans la semaine, il serait contraire à son intérêt de bouleverser totalement ses habitudes en accordant au père la garde partagée qu'il requiert à raison d'une semaine sur deux. En effet, l'enfant serait alternativement privé de son père ou de sa mère pendant toute une semaine, contrairement à ses habitudes bien établies. L'exercice de la garde tel que fixé par le Tribunal a toutefois pour conséquence que l'enfant ne voit pas son père pendant trois journées entières consécutives - du jeudi matin au lundi soir - les week-ends où l'intimée a la garde de l'enfant. Si l'enfant devait se rendre chez son père tous les dimanches soirs, comme ce dernier le souhaite, celui-ci serait alors privé de la présence de sa mère trois jours consécutifs - du vendredi matin au mardi soir -, ce qui n'est pas non plus dans son intérêt. Si le SPMi a retenu que la garde actuelle était conforme à l'intérêt de l'enfant, il n'est toutefois pas établi qu'il serait contraire à son intérêt qu'il passe une nuit supplémentaire chez son père. Par conséquent, l'enfant passera le dimanche soir suivant le week-end passé avec sa mère chez son père, ce qui permettra à l'enfant d'être la moitié du temps avec chacun de ses parents. Par conséquent, le chiffre 4 du dispositif du jugement sera modifié en ce sens que les parents exerceront une garde alternée sur leur fils, à exercer d'entente entre les parents, et qu'à défaut le père aura l'enfant tous les lundis dès la sortie de l'école au mardi au retour à l'école, ainsi que chaque mercredi de 13h00 au jeudi matin retour à l'école, et un week-end sur deux, du vendredi dès la sortie de l'école au dimanche soir à 18h30 ainsi que le dimanche soir suivant le week-end ou l'enfant était chez sa mère de 18h30 jusqu'au lundi matin, les vacances scolaires étant partagées par moitié entre les parents.</w:t>
      </w:r>
    </w:p>
    <w:p>
      <w:r>
        <w:rPr>
          <w:b/>
        </w:rPr>
        <w:t>E. 10</w:t>
      </w:r>
    </w:p>
    <w:p>
      <w:r>
        <w:t>L'appelant sollicite que le domicile légal de l'enfant soit fixé à son domicile.</w:t>
      </w:r>
    </w:p>
    <w:p>
      <w:r>
        <w:rPr>
          <w:b/>
        </w:rPr>
        <w:t>E. 10.1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w:t>
      </w:r>
    </w:p>
    <w:p>
      <w:r>
        <w:t>- 16/24 -</w:t>
      </w:r>
    </w:p>
    <w:p>
      <w:r>
        <w:t>C/22110/2013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158).</w:t>
      </w:r>
    </w:p>
    <w:p>
      <w:r>
        <w:rPr>
          <w:b/>
        </w:rPr>
        <w:t>E. 10.2</w:t>
      </w:r>
    </w:p>
    <w:p>
      <w:r>
        <w:t>En l'espèce, la répartition de la prise en charge de l'enfant sera parfaitement égale entre chacun des parents de sorte qu'il y a lieu de déterminer son domicile légal. Jusqu'à ce jour, le domicile légal de l'enfant se trouvait chez sa mère, qui a géré les factures d'entretien de l'enfant sans qu'aucun reproche ne puisse lui être fait à cet égard. C'est également l'intimée qui perçoit les allocations familiales pour l'enfant - le chiffre 7 du dispositif du jugement n'étant pas remis en cause par les parties - de sorte qu'il n'y a pas lieu de modifier le lieu de domicile de l'enfant. Le jugement sera ainsi confirmé sur ce point.</w:t>
      </w:r>
    </w:p>
    <w:p>
      <w:r>
        <w:rPr>
          <w:b/>
        </w:rPr>
        <w:t>E. 11</w:t>
      </w:r>
    </w:p>
    <w:p>
      <w:r>
        <w:t>L'appelant reproche au Tribunal de l'avoir condamné au versement d'une contribution d'entretien alors que si l'on tient compte de la sous-location d'une chambre par l'intimée et des charges fiscales des parties, les soldes disponibles de ces dernières sont équivalents. Il s'est toutefois dit prêt à financer l'ensemble des frais concernant l'enfant, à l'exclusion de ceux relevant des vacances et les week- ends avec l'intimée. 11.1.1 En cas de garde partagée avec prise en charge de l'enfant à parts égales, il n'est pas exclu que l'un des parents doive, outre la prise en charge, verser une contribution pécuniaire (arrêts du Tribunal fédéral 5A_1017/2014 du 12 mai 2015 consid. 4.4 ; 5A_705/2013 du 29 juillet 2014 consid. 3.2). 11.1.2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- 17/24 -</w:t>
      </w:r>
    </w:p>
    <w:p>
      <w:r>
        <w:t>C/22110/2013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11.1.3 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celle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137 III 102 consid. 4.2.2.2; 127 III 136 consid. 2c).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w:t>
      </w:r>
    </w:p>
    <w:p>
      <w:r>
        <w:t>- 18/24 -</w:t>
      </w:r>
    </w:p>
    <w:p>
      <w:r>
        <w:t>C/22110/2013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Dans tous les cas, le minimum vital du débirentier doit être au moins préservé (ATF 135 III 66 consid. 10, JdT 2010 I 167; 127 III 68, JdT 2001 I 562 consid. 2c p. 565/566; 126 III 353 consid. 1a/aa et bb p. 356/357; 123 III 1,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11.2</w:t>
      </w:r>
    </w:p>
    <w:p>
      <w:r>
        <w:t>En l'espèce, les frais de l'enfant s'élèvent à 1'653 fr., soit ceux retenus par le Tribunal (1'244 fr. 74; cf. let. i EN FAIT, p. 7) auquel il convient d'ajouter, compte tenu de la garde partagée par moitié entre les parties, une participation au loyer de son père (408 fr.), étant relevé que les loyers des parents sont à peu près équivalents. Les revenus des parties provenant de leurs activités lucratives ne sont pas remis en cause en appel. Par ailleurs, c'est à juste titre que le Tribunal a considéré qu'il n'y avait pas lieu de contraindre l'intimée à sous-louer à nouveau une chambre de son logement, dès lors que la présence d'un tiers à son domicile n'est, a priori, pas dans l'intérêt de l'enfant et que l'intimée dispose de ressources suffisantes pour couvrir ses charges et celles de l'enfant. Il n'est dès lors pas nécessaire de tenir compte d'un revenu hypothétique supplémentaire à son égard. Dès lors, la capacité contributive mensuelle des parties, hors impôts, est de 4'049 fr. (7'480 fr. de revenus – 3'839 fr. de charges + 408 fr. de participation au loyer de l'enfant) pour l'appelant et de 2'068 fr. (5'575 fr. de revenus – 3'949 fr. de charges + 442 fr. de participation au loyer de l'enfant) pour l'intimée. Chacun des parents supporte déjà la part de loyer de l'enfant afférente à son logement (442 fr. pour l'intimée et 408 fr. pour l'appelant) ainsi que la moitié de l'entretien de base de celui-ci selon les normes OP (200 fr. par parent). Après paiement de ces charges, le solde mensuel de l'appelant est de 3'441 fr. (4'049 fr. – 408 fr. – 200 fr.) et celui de l'intimée de 1'426 fr. (2'068 fr. – 442 fr. –</w:t>
      </w:r>
    </w:p>
    <w:p>
      <w:r>
        <w:t>- 19/24 -</w:t>
      </w:r>
    </w:p>
    <w:p>
      <w:r>
        <w:t>C/22110/2013 200 fr.). Dès lors que l'appelant dispose d'un solde mensuel plus important que celui l'intimée, il est dans l'intérêt de l'enfant qui doit participer au train de vie de son père que l'intimée perçoive la totalité des allocations familiales (300 fr.) et que l'appelant supporte les trois quart du solde des frais de l'enfant (423 fr. = 1'653 fr. – 408 fr. – 422 fr. – 400 fr.), soit 300 fr. Compte tenu du versement d'une telle contribution d'entretien, la charge d'impôt de l'appelant peut être estimée à 1'400 fr. par mois (89'760 fr. de revenus nets et des déductions de 4'932 fr. pour les assurances-maladies, 1'713 fr. de frais professionnels et 3'600 fr. de contribution d'entretien) et celle de l'intimée à 800 fr. par mois (66'900 fr. de revenus nets, 3'600 fr. de contribution d'entretien, 3'600 fr. d'allocations familiales et des déductions de 4'789 fr. pour les assurances-maladies de la mère et de l'enfant, 864 fr. de frais de garde, 1'713 fr. de frais professionnels). Après versement de la contribution d'entretien et paiement de ses acomptes d'impôts, il restera encore à l'appelant un solde de l'ordre de 1'740 fr. par mois. Il n'est pas dans l'intérêt de l'enfant que le règlement de ses charges soit réparti entre ses parents afin qu'aucun d'eux ne soit condamné au versement d'une contribution à son entretien. En effet, le risque serait trop élevé que finalement plus personne ne s'en acquitte. Il convient dès lors qu'un seul parent soit responsable du paiement des charges de l'enfant à l'égard des tiers. Le critère fiscal avancé par l'appelant n'est pas ailleurs par relevant, étant précisé que le Tribunal fédéral a récemment considéré que lorsque les parents ont l'autorité parentale conjointe, la garde alternée équivalente, où aucune contribution d'entretien n'est versée et où les parents ont convenu de prendre en charge l'entretien de l'enfant à parts égales, le barème réduit doit être octroyé au parent qui a le revenu net le moins élevé (arrêt du Tribunal fédéral 2C_534/2014, 2C_535/2014 du 7 août 2015 prévu à la publication), et non plus au revenu brut le plus élevé comme il était pratiqué jusqu'à ce jour. Par conséquent, la charge fiscale de l'appelant serait sensiblement la même qu'il s'acquitte ou non d'une contribution d'entretien. Au vu de ce qui précède, l'appelant sera condamné à verser 300 fr. à titre de contribution à l'entretien de l'enfant et il appartiendra à l'intimée de régler les factures de l'enfant, en sus de la prise en charge de sa part du loyer (408 fr.) et des frais découlant de l'exercice de son droit de garde. Le chiffre 6 du dispositif du jugement entrepris sera par conséquent annulé et modifié en ce sens.</w:t>
      </w:r>
    </w:p>
    <w:p>
      <w:r>
        <w:rPr>
          <w:b/>
        </w:rPr>
        <w:t>E. 12</w:t>
      </w:r>
    </w:p>
    <w:p>
      <w:r>
        <w:t>L'appelant reproche au Tribunal de ne pas avoir tenu compte de l'utilisation pour besoins du ménage de ses avoirs présents sur son compte D______ avant le mariage dans la liquidation du régime matrimonial, ni de la valeur de rachat de l'assurance-vie de l'intimée.</w:t>
      </w:r>
    </w:p>
    <w:p>
      <w:r>
        <w:t>- 20/24 -</w:t>
      </w:r>
    </w:p>
    <w:p>
      <w:r>
        <w:t>C/22110/2013 L'appelant n'ayant fait valoir aucune prétention en relation avec ce compte devant le Tribunal, c'est à juste titre que ce denier n'en a pas tenu compte dans la liquidation du régime matrimonial et les nouveaux allégués de l'appelant relatifs à ce compte sont irrecevables en appel (cf. supra 4.2). En revanche, c'est à juste titre que l'appelant reproche au Tribunal d'avoir retenu que l'assurance-vie conclue par l'intimée pendant le mariage n'avait aucune valeur puisque l'une des pièces produites indique que celle-ci était de 135 fr. au 1er juillet 2011, jour de la dissolution du régime matrimonial. C'est à tort que l'appelant fait valoir que cette assurance serait de 2'808 fr. en 2009 et 3'708 fr. en 2010, puisque les montants inscrits dans les déclarations d'impôts de l'intimée correspondent aux primes versées pour ces assurances-vie et non à leur valeur de rachat. Cela étant, cette différence de 135 fr. n'a aucune incidence sur le résultat de la liquidation du régime matrimonial puisque le premier juge, soumis à la maxime de disposition sur ce point, a suivi les conclusions de l'appelant qui étaient au-delà du résultat obtenu après liquidation du régime matrimonial des parties. Par conséquent, le chiffre 11 du dispositif du jugement sera confirmé.</w:t>
      </w:r>
    </w:p>
    <w:p>
      <w:r>
        <w:rPr>
          <w:b/>
        </w:rPr>
        <w:t>E. 13</w:t>
      </w:r>
    </w:p>
    <w:p>
      <w:r>
        <w:t>Dès lors que les parties conviennent que le Tribunal a commis une erreur de plume en condamnant la caisse de prévoyance de l'appelant à verser 34'428 fr. 70 au lieu de 33'428 fr. 70 à la caisse de prévoyance de l'intimée au titre de partage des avoirs de prévoyance professionnelle que les parties ont accumulés pendant le mariage, le chiffre 12 du dispositif du jugement sera rectifié en ce sens.</w:t>
      </w:r>
    </w:p>
    <w:p>
      <w:r>
        <w:rPr>
          <w:b/>
        </w:rPr>
        <w:t>E. 14</w:t>
      </w:r>
    </w:p>
    <w:p>
      <w:r>
        <w:t>Sur mesures provisionnelles, l'appelant reproche au Tribunal de ne pas avoir tenu compte de la charge d'impôt pour chacun des parents, de ce que les frais de natation de l'enfant s'élevaient à 190 fr. par an et non pas 380 fr., d'avoir considéré qu'il s'était moins occupé de l'enfant que la mère et qu'il n'avait effectué aucune dépense en sus du paiement de la contribution d'entretien.</w:t>
      </w:r>
    </w:p>
    <w:p>
      <w:r>
        <w:rPr>
          <w:b/>
        </w:rPr>
        <w:t>E. 14.1</w:t>
      </w:r>
    </w:p>
    <w:p>
      <w:r>
        <w:t>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(art. 276 al. 1 et 2 CPC). Cette procédure n'a pas pour but de corriger le premier jugement, mais de l'adapter aux circonstances nouvelles (ATF 120 II 177 consid. 3a; arrêt du Tribunal fédéral 5A_860/2013 du 29 janvier 2014 consid. 4.2). Le moment déterminant pour apprécier si des circonstances nouvelles se sont produites est la date du dépôt de la demande de nouvelles mesures (ATF 137 III 604 consid. 4.1.1; arrêt du Tribunal fédéral 5A_737/2012 du 23 janvier 2013 consid. 3).</w:t>
      </w:r>
    </w:p>
    <w:p>
      <w:r>
        <w:t>- 21/24 -</w:t>
      </w:r>
    </w:p>
    <w:p>
      <w:r>
        <w:t>C/22110/2013 La Cour revoit la cause avec un plein pouvoir d'examen (art. 310 CPC). Les mesures provisionnelles étant soumises à la procédure sommaire au sens propre, sa cognition est limitée à la simple vraisemblance des faits et à un examen sommaire du droit avec administration restreinte des moyens de preuve, l'exigence de célérité étant privilégiée par rapport à celle de sécurité (art. 254 CPC; ATF 127 III 474 consid. 2b/bb; arrêt du Tribunal fédéral 5A_442/2013 du 24 juillet 2013 consid. 2.1 et 5.1).</w:t>
      </w:r>
    </w:p>
    <w:p>
      <w:r>
        <w:rPr>
          <w:b/>
        </w:rPr>
        <w:t>E. 14.2</w:t>
      </w:r>
    </w:p>
    <w:p>
      <w:r>
        <w:t>En l'espèce, l'existence de changements notables et durables dans la situation des parties justifiant le prononcé de mesures provisionnelles n'est pas remise en cause en appel, pas plus que la méthode du minimum vital appliquée par le premier juge consistant à déterminer une contribution à l'entretien de l'ensemble de la famille. Comme déjà retenu au fond, la situation financière favorable des parties permet de tenir compte de leur charge d'impôts (cf. ch. 11.2 supra) qui, compte tenu du versement de la contribution d'entretien fixée sur mesures protectrices de l'union conjugale, s'établissait à environ 460 fr. par mois pour l'intimée et à 810 fr. pour l'appelant. Les frais de natation de l'enfant étaient de 380 fr. par an, tel que retenu par le Tribunal, puisque selon les pièces produites la somme de 190 fr. est relative à un seul semestre. Compte tenu de ce qui précède, le solde disponible de la famille s'élevait à 4'180 fr. [(7'480 fr. + 5'575 fr. + 680 fr. + 300 fr.) – (3'873 fr. 15 + 810 fr. + 3'948 fr. 75 + 460 fr. + 764 fr. 15)] en 2014 et à 3'500 fr. en 2015 après résiliation de la sous-location au 31 décembre 2014. C'est à juste titre que le tribunal a partagé le solde disponible par moitié entre les parties, dès lors que la prise en charge de l'enfant par les parents était quasiment identique, l'intimée prenant ses repas tous les lundis midi avec l'enfant pendant six mois. Compte tenu de ce partage par moitié du solde disponible, l'intimée avait droit à une somme de 708 fr. [(3'948 fr. 75 + 460 fr. + 764 fr. 15 + 2'090 fr.) – (5'575 fr. 25 + 680 fr. + 300 fr.)] en 2014 et à 798 fr. [(3'948 fr. 75 + 460 fr. + 764 fr. 15 + 1'500 fr.) – (5'575 fr. 25 + 300 fr.)] en 2015. Cela étant, l'appelant a proposé en toute connaissance de cause de participer durant la procédure à l'entretien de sa famille à hauteur de 1'000 fr. par mois dans ses dernières conclusions - alors que selon ses propres calculs devant le premier juge seule une contribution 688 fr. 90 était due - de sorte qu'il sera condamné à verser 1'000 fr. à ce titre. On ne saurait, comme l'a retenu le premier juge, retenir l'offre de 1'200 fr. que l'appelant a articulé en audience dehors de tout calcul.</w:t>
      </w:r>
    </w:p>
    <w:p>
      <w:r>
        <w:t>- 22/24 -</w:t>
      </w:r>
    </w:p>
    <w:p>
      <w:r>
        <w:t>C/22110/2013 Le chiffre 1 du dispositif du jugement querellé sera, partant, annulé et modifié en ce sens.</w:t>
      </w:r>
    </w:p>
    <w:p>
      <w:r>
        <w:rPr>
          <w:b/>
        </w:rPr>
        <w:t>E. 15.1</w:t>
      </w:r>
    </w:p>
    <w:p>
      <w:r>
        <w:t>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 15.2.1 En l'espèce, les parties ne contestent pas la quotité des frais arrêtés par le premier juge à 2'500 fr., sur mesures provisionnelles et au fond, et le choix du premier juge de les partager par moitié eu égard à la nature familiale du litige n'est pas critiquable. Le jugement sera dès lors confirmé sur ce point. 15.2.2 Les frais judiciaires d'appel seront fixés à 2'300 fr., comprenant les émoluments de décisions au fond (1'500 fr.) et sur mesures provisionnelles (800 fr.) (art. 95, 96, 104 al. 1, 105 et 106 CPC; art. 2, 30, 35 et 37 du Règlement fixant le tarif des frais en matière civile [RTFMC; E 1 05.10]). Ils seront entièrement compensés avec l'avance de frais du même montant fournie par l'appelant qui restera acquise à l'Etat (art. 111 al. 1 CPC). Eu égard à la nature du litige et au fait qu'aucune des parties n'obtient entièrement gain de cause, sur mesures provisionnelles et sur le fond, les frais de seconde instance seront mis à la charge des parties pour moitié chacune, de sorte que l'intimée sera condamnée à verser 1'150 fr. à ce titre à l'appelant. Pour des motifs d'équité liés à la nature du litige, les parties conserveront leurs propres dépens de première instance et d'appel à leur charge (art. 95 al. 1 let. b et al. 3, 104 al. 1 et 107 al. 1 let c CPC).</w:t>
      </w:r>
    </w:p>
    <w:p>
      <w:r>
        <w:rPr>
          <w:b/>
        </w:rPr>
        <w:t>E. 16</w:t>
      </w:r>
    </w:p>
    <w:p>
      <w:r>
        <w:t>Le présent arrêt est susceptible d'un recours en matière civile au Tribunal fédéral (art. 72 al. 1 LTF), la valeur litigieuse étant supérieure à 30'000 fr. au sens de l'art. 74 al. 1 let. b LTF (art. 51 al. 4 LTF). S'agissant du prononcé sur mesures provisionnelles, les moyens sont toutefois limités à la violation des droits constitutionnels (art. 98 LTF). * * * * *</w:t>
      </w:r>
    </w:p>
    <w:p>
      <w:r>
        <w:t>- 23/24 -</w:t>
      </w:r>
    </w:p>
    <w:p>
      <w:r>
        <w:t>C/22110/2013 PAR CES MOTIFS, La Chambre civile : A la forme : Déclare recevables les appels interjetés les 27 février et 19 mars 2015 par A______ contre les chiffres 1 du dispositif sur mesures provisionnelles et les chiffres 4 à 6, 11 et 12 du dispositif au fond du jugement JTPI/1784/2015 rendu le 10 février 2015 par le Tribunal de première instance dans la cause C/22110/2013-14. Sur mesures provisionnelles : Annule le chiffre 1 du dispositif du jugement. Cela fait et statuant à nouveau : Modifie le chiffre 5 du dispositif du jugement sur mesures protectrices de l'union conjugale et condamne A______ à verser en mains de B______, par mois et d'avance, allocations familiales non comprises, à titre de contribution à l'entretien de la famille, la somme de 1'000 fr. dès le 1er février 2014. Au fond : Annule le chiffre 6 du dispositif du jugement. Cela fait et statuant à nouveau : Condamne A______ à verser 300 fr. en mains de B______, par mois et d'avance, allocations familiales non comprises, à titre de contribution à l'entretien de l'enfant C______. Condamne B______ à s'acquitter des charges de l'enfant C______ à l'exclusion de la participation de l'enfant au loyer de A______ et des frais découlant de l'exercice du droit de garde lorsque l'enfant se trouve chez son père. Modifie le chiffre 4 du dispositif du jugement en ce sens que les parents exerceront une garde alternée sur leur fils, à exercer d'entente entre les parents, et qu'à défaut, le père aura l'enfant tous les lundis dès la sortie de l'école au mardi au retour à l'école, ainsi que chaque mercredi de 13h00 au jeudi matin retour à l'école, et un week-end sur deux, du vendredi dès la sortie de l'école au dimanche soir à 18h30 ainsi que le dimanche soir suivant le week-end ou l'enfant était chez sa mère de 18h30 jusqu'au lundi matin retour à l'école, les vacances scolaires étant partagées par moitié entre les parents.</w:t>
      </w:r>
    </w:p>
    <w:p>
      <w:r>
        <w:t>- 24/24 -</w:t>
      </w:r>
    </w:p>
    <w:p>
      <w:r>
        <w:t>C/22110/2013 Rectifie le chiffre 12 du jugement en ce sens qu'il est ordonné à la Caisse _____, de prélever le montant de 33'428 fr. 70 sur le compte de prévoyance professionnelle de A______ (n° d'assuré : ______) et de le transférer sur le compte de prévoyance professionnelle de B______ auprès de la Caisse ______. Confirme le jugement pour le surplus. Déboute les parties de toutes autres conclusions. Sur les frais : Arrête les frais judiciaires d'appel, sur mesures provisionnelles et au fond, à 2'300 fr., les met à la charge des parties pour moitié chacune et dit qu'ils sont entièrement compensés avec l'avance de frais fournie par A______, qui reste acquise à l'Etat. Condamne en conséquence B______ à payer 1'150 fr. à A______ à titre de restitution partielle de l'avance fournie. Dit que chacune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