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ACJC/1257/2014 vom 17. Oktober 2014</w:t>
      </w:r>
    </w:p>
    <w:p>
      <w:r>
        <w:t>GE Cour de justice, 2014-10-17, FR</w:t>
      </w:r>
    </w:p>
    <w:p>
      <w:r>
        <w:rPr>
          <w:b/>
        </w:rPr>
        <w:t xml:space="preserve">Quelle: </w:t>
      </w:r>
      <w:r>
        <w:t>https://mcp.opencaselaw.ch/entscheid/ge_gerichte_ACJC_1257_2014</w:t>
      </w:r>
    </w:p>
    <w:p>
      <w:r>
        <w:t>FR: GE_GERICHTE ACJC/1257/2014 du 17 octobre 2014</w:t>
      </w:r>
    </w:p>
    <w:p>
      <w:r>
        <w:t>IT: GE_GERICHTE ACJC/1257/2014 del 17 ottobre 2014</w:t>
      </w:r>
    </w:p>
    <w:p>
      <w:pPr>
        <w:pStyle w:val="Heading2"/>
      </w:pPr>
      <w:r>
        <w:t>Erwägungen</w:t>
      </w:r>
    </w:p>
    <w:p>
      <w:r>
        <w:rPr>
          <w:b/>
        </w:rPr>
        <w:t>E. 1.1</w:t>
      </w:r>
    </w:p>
    <w:p>
      <w:r>
        <w:t>L'ordonnance querellée a été rendue sur mesures provisionnelles (art. 308 al. 1 let. b CPC), dans une affaire patrimoniale dont la valeur litigieuse est supérieure à 10'000 fr. (art. 308 al. 2 CPC). La voie de l'appel est dès lors ouverte.</w:t>
      </w:r>
    </w:p>
    <w:p>
      <w:r>
        <w:rPr>
          <w:b/>
        </w:rPr>
        <w:t>E. 1.2</w:t>
      </w:r>
    </w:p>
    <w:p>
      <w:r>
        <w:t>Le délai d'appel est de dix jours dès lors que la procédure sommaire est applicable s'agissant de la modification d'une mesure provisionnelle (art. 248 let. d, 268 et 314 al. 1 CPC). L'acte doit être écrit et motivé (art. 130, 131, 252 et 311 CPC). En l'espèce, l'appel a été déposé dans le délai et les formes prévus par la loi, de sorte qu'il est recevable.</w:t>
      </w:r>
    </w:p>
    <w:p>
      <w:r>
        <w:rPr>
          <w:b/>
        </w:rPr>
        <w:t>E. 1.3</w:t>
      </w:r>
    </w:p>
    <w:p>
      <w:r>
        <w:t>La présente cause étant régie par la procédure sommaire, la cognition du juge est limitée à la simple vraisemblance des faits et à un examen sommaire du droit. Les moyens de preuve sont limités à ceux qui sont immédiatement disponibles (HOHL, Procédure civile, Tome II, 2ème éd., 2010, n. 1556, p. 283).</w:t>
      </w:r>
    </w:p>
    <w:p>
      <w:r>
        <w:rPr>
          <w:b/>
        </w:rPr>
        <w:t>E. 2.1</w:t>
      </w:r>
    </w:p>
    <w:p>
      <w:r>
        <w:t>Les faits et les moyens de preuve nouveaux sont admissibles en appel aux conditions de l'art. 317 CPC. La Cour examine, en principe, d'office la recevabilité des faits et des moyens de preuve nouveaux (REETZ/HILBER, Kommentar zur Schweizerischen Zivilprozessordnung [ZPO], 2013,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in Code de procédure civile commenté, 2011, n. 6 ad art. 317).</w:t>
      </w:r>
    </w:p>
    <w:p>
      <w:r>
        <w:rPr>
          <w:b/>
        </w:rPr>
        <w:t>E. 2.2</w:t>
      </w:r>
    </w:p>
    <w:p>
      <w:r>
        <w:t>En l'espèce, l'appelante produit en appel trois pièces (pièces 2 à 4) qui n'ont pas été déposées en première instance. Les pièces 3 et 4 sont antérieures à la date à laquelle la cause a été gardée à juger par le premier juge et l'appelante n'explique pas ce qui l'a empêchée de les produire devant le Tribunal. Ces pièces sont dès lors irrecevables. L'extrait du Registre du commerce produit sous pièce 2 appelante sera par contre considéré comme recevable, dans la mesure où il fait état d'un fait notoire au sens de l'art. 151 CPC (arrêt du Tribunal fédéral</w:t>
      </w:r>
    </w:p>
    <w:p>
      <w:r>
        <w:t>- 6/9 -</w:t>
      </w:r>
    </w:p>
    <w:p>
      <w:r>
        <w:t>C/29/2014 4A_560/2012 du 1er mars 2013 consid. 2.2; 4A_261/2013 du 1er octobre 2013 consid. 4.3). L'intimée produit quant à elle une pièce nouvelle, à savoir une garantie portant sur 9'450 fr. Elle indique qu'elle n'a pas pu déposer cette pièce auparavant, faute de temps. Cette pièce, établie par l'avocat de l'intimée aurait cependant parfaitement pu être produite avec sa requête, de sorte qu'elle est irrecevable.</w:t>
      </w:r>
    </w:p>
    <w:p>
      <w:r>
        <w:rPr>
          <w:b/>
        </w:rPr>
        <w:t>E. 3</w:t>
      </w:r>
    </w:p>
    <w:p>
      <w:r>
        <w:t>L'appelante fait notamment valoir que les sûretés proposées par l'intimée ne sont pas suffisantes, en ce sens qu'elle ne couvrent pas tous les frais, à savoir ceux de la procédure, les intérêts courus pour toute la durée de la procédure au fond, les frais du Registre foncier et les droits d'enregistrements.</w:t>
      </w:r>
    </w:p>
    <w:p>
      <w:r>
        <w:rPr>
          <w:b/>
        </w:rPr>
        <w:t>E. 3.1</w:t>
      </w:r>
    </w:p>
    <w:p>
      <w:r>
        <w:t>Selon l'art. 839 al. 3 CC, l'hypothèque légale des artisans et entrepreneurs ne peut être requise si le propriétaire fournit des sûretés suffisantes au créancier. Les sûretés peuvent également être fournies après l'inscription provisoire de l'hypothèque légale, soit à l'occasion du procès au fond ou auparavant, pendant le délai pour agir au fond. Dans ce cas, le propriétaire de l'immeuble grevé peut demander la radiation de l'inscription provisoire (BOHNET, in Le nouveau droit de l'hypothèque légale des artisans et entrepreneurs, 2012, p. 79, n. 80). Les sûretés peuvent consister en une garantie, un cautionnement (solidaire selon la doctrine récente) ou une consignation d'espèces au tribunal ou en mains d'un tiers. En cas de sûretés personnelles, la personne du garant devra en principe être une banque ou une assurance de première catégorie avec siège en Suisse (BOHNET, op. cit., p. 67, n. 53 et 54). A teneur de l'art. 492 al. 1 CO, le cautionnement est un contrat par lequel une personne s'engage envers le créancier à garantir le paiement de la dette contractée par le débiteur. L'art. 493 al. 2 CO précise que lorsque la caution est une personne physique, la déclaration de cautionnement doit revêtir la forme authentique si le cautionnement dépasse la somme de 2'000 fr.</w:t>
      </w:r>
    </w:p>
    <w:p>
      <w:r>
        <w:rPr>
          <w:b/>
        </w:rPr>
        <w:t>E. 3.2</w:t>
      </w:r>
    </w:p>
    <w:p>
      <w:r>
        <w:t>Les sûretés doivent donner la même couverture que l'hypothèque elle-même. Elles doivent donc couvrir la créance pour les travaux que l'entrepreneur fait valoir en capital, les frais de poursuite et les intérêts moratoires au sens de l'art. 818 al. 1 ch. 1 et 2 CC (BOHNET, op. cit., p. 67, n. 54). Selon la jurisprudence du Tribunal fédéral, les sûretés doivent offrir, pour les intérêts moratoires une garantie qui n'est limitée ni dans le temps ni dans l'étendue (ATF 121 III 445, JT 1997 I 154 consid. 5a). La doctrine précise à cet égard que cette jurisprudence rend parfois l'octroi des sûretés difficile. Selon BOHNET, la couverture des intérêts est en tous cas</w:t>
      </w:r>
    </w:p>
    <w:p>
      <w:r>
        <w:t>- 7/9 -</w:t>
      </w:r>
    </w:p>
    <w:p>
      <w:r>
        <w:t>C/29/2014 suffisante si elle est offerte pour une durée équivalant à 1,5 fois la durée probable des procédures qui détermineront l'exigibilité de la garantie (BOHNET, op. cit., p. 67, note 108 et réf citées). Selon RAPLAN, on admet en pratique une durée de 3,</w:t>
      </w:r>
    </w:p>
    <w:p>
      <w:r>
        <w:rPr>
          <w:b/>
        </w:rPr>
        <w:t>E. 3.3</w:t>
      </w:r>
    </w:p>
    <w:p>
      <w:r>
        <w:t>En l'espèce, il n'est pas possible de prendre en considération l'engagement signé par Me E______ le 12 mars 2014 pour déterminer l'étendue des sûretés fournies. En effet, Me E______ ne saurait être assimilé à une banque ou à une assurance de première catégorie avec siège en Suisse, susceptible de fournir une garantie au sens de la doctrine et de la jurisprudence précitée. En outre, à supposer qu'il faille considérer le document en question comme de acte de cautionnement au sens des arts. 492 ss CO, celui-ci n'est pas valable car il n'a pas été établi en la forme authentique en dépit du fait que la caution est une personne physique. Seule peut par conséquent être prise en compte la garantie émise le 4 décembre 2013 pour un montant de 30'000 fr. par la banque C______. Il convient en premier lieu de préciser que, comme cela ressort des principes juridiques exposés ci-dessus, contrairement à ce que soutient l'appelante, le montant à garantir ne comprend pas les frais de procédure, mais uniquement la créance en capital, les intérêts pour toute la durée de la procédure au fond ainsi que les frais, notamment ceux de poursuite. Le montant à hauteur duquel l'inscription provisoire litigieuse a été admise étant de 26'522 fr. 10 avec intérêts à 5% dès le 8 février 2013, c'est à juste titre que le Tribunal a retenu que le montant des intérêts est de 1'326 fr. 10 par an. En ce qui concerne la durée probable de la procédure, l'appelante a allégué, sans être contredite par l'intimée, qu'une première audience de débats d'instruction avait eu lieu le 9 septembre 2014. Si, comme le soutient l'appelante, une expertise et/ou l'audition de témoins est nécessaire, ce qui paraît vraisemblable s'agissant d'un litige relatif à des travaux effectués sur un immeuble, il est peu probable que la procédure de première instance se termine moins d'un an après cette audience, soit avant septembre 2015. En comptant six mois supplémentaires pour une éventuelle procédure devant la Cour, délai d'appel compris, puis six mois de procédure devant le Tribunal fédéral, délai de recours compris, l'on peut prévoir qu'un jugement définitif au fond sera obtenu en septembre 2016, soit une durée de procédure de trois ans environ depuis le dépôt en conciliation fin juillet 2013. Conformément à l'opinion de BOHNET, selon laquelle il convient de retenir une durée équivalant à 1,5 fois la durée probable des procédures qui détermineront l'exigibilité de la garantie, il faut encore rajouter un an et demi à ces trois ans. La</w:t>
      </w:r>
    </w:p>
    <w:p>
      <w:r>
        <w:t>- 8/9 -</w:t>
      </w:r>
    </w:p>
    <w:p>
      <w:r>
        <w:t>C/29/2014 Cour retiendra ainsi que la garantie doit couvrir les intérêts prévisibles jusqu'en mars 2018. Le montant nécessaire pour garantir les intérêts est ainsi de 6'714 fr. puisque les intérêts courent dès le 8 février 2013 (1'326 fr. 10 x 5 ans + 110 fr. 50 x 1 mois). Pour être suffisantes au sens de l'art. 839 al. 3 CC, les sûretés doivent ainsi porter sur un montant minimum de 33'263 fr. (26'522 fr. 10 + 6'714 fr.), montant auquel s'ajoutent encore les frais de poursuite et ceux du Registre foncier en 794 fr. 25. La garantie proposée par l'intimée en 30'000 fr. est ainsi insuffisante. L'appel doit ainsi être admis et l'ordonnance entreprise annulée pour ce motif, sans qu'il soit nécessaire d'examiner les autres griefs soulevés par l'appelante. 4. Lorsque l'autorité d'appel statue à nouveau, elle se prononce sur les frais de première instance (art. 318 al. 3 CPC). Compte tenu notamment de la valeur litigieuse de 26'522 fr. 10, les frais seront arrêtés à 1'600 fr., soit 800 fr. en première instance et 800 fr. en deuxième instance, ce dernier montant comprenant les frais relatif à la décision sur suspension de l'effet exécutoire attaché à l'ordonnance querellée (art. 26 et 37 RTFMC). Ces frais seront compensés avec les avances fournies par les parties, soit 800 fr. par l'intimée en première instance et 800 fr. par l'appelante en appel, qui sont dès lors acquises à l'Etat. L'intimée, qui succombe, sera condamnée aux frais des deux instances, conformément à l'art. 106 al. 1 CPC. Elle devra dès lors payer à l'appelante 800 fr. à ce titre. Les dépens alloués à cette dernière, débours et TVA compris, seront arrêtés à 1'500 fr. pour chaque instance, soit 3'000 fr. au total (art. 96 CPC, art. 84, 85, 88, 90 RTFMC et art. 18 à 21 LaCC). En effet, au regard de la valeur litigieuse, de l'absence de complexité particulière de la cause et du travail accompli par le conseil de l'appelante en première instance soit une écriture en réponse de 4 pages et la participation à une audience, le montant de 2'635 fr. 20 ressortant de la note d'honoraires déposée devant le premier juge est excessif et doit être réduit à 1'500 fr. L'octroi d'un montant similaire pour l'appel se justifie au regard du fait que l'appelante a déposé un acte d'appel d'environ 10 pages ainsi qu'une réplique. * * * * *</w:t>
      </w:r>
    </w:p>
    <w:p>
      <w:r>
        <w:t>- 9/9 -</w:t>
      </w:r>
    </w:p>
    <w:p>
      <w:r>
        <w:t>C/29/2014 PAR CES MOTIFS, La Chambre civile : A la forme : Déclare recevable l'appel interjeté par A______ contre l'ordonnance OTPI/851/2014 rendue le 10 juin 2014 par le Tribunal de première instance dans la cause C/29/2014-4 SP. Au fond : Annule cette ordonnance et statuant à nouveau : Déboute B______ de toutes ses conclusions. Sur les frais : Arrête à 1'600 fr. les frais judiciaires de première et de seconde instance. Dit que ces frais sont entièrement compensés avec les avances effectuées par les parties. Met les frais à la charge de B______ et la condamne à verser à A______ 800 fr. à ce titre. Condamne B______ à verser à A______ 3'000 fr. TTC à titre de dépens pour les deux instances. Siégeant : Monsieur Laurent RIEBEN, président; Madame Pauline ERARD et Madame Fabienne GEISINGER-MARIETHOZ,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5</w:t>
      </w:r>
    </w:p>
    <w:p>
      <w:r>
        <w:t>voire 7 ans en fonction de la durée probable des procédures (RAPLAN, L'hypothèque légale des artisans et entrepreneurs : mise en œuvre judiciaire, in JT 2010 II p. 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