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ACJC/1256/2021 vom 7. Oktober 2021</w:t>
      </w:r>
    </w:p>
    <w:p>
      <w:r>
        <w:t>GE Cour de justice, 2021-10-07, FR</w:t>
      </w:r>
    </w:p>
    <w:p>
      <w:r>
        <w:rPr>
          <w:b/>
        </w:rPr>
        <w:t xml:space="preserve">Quelle: </w:t>
      </w:r>
      <w:r>
        <w:t>https://mcp.opencaselaw.ch/entscheid/ge_gerichte_ACJC_1256_2021</w:t>
      </w:r>
    </w:p>
    <w:p>
      <w:r>
        <w:t>FR: GE_GERICHTE ACJC/1256/2021 du 7 octobre 2021</w:t>
      </w:r>
    </w:p>
    <w:p>
      <w:r>
        <w:t>IT: GE_GERICHTE ACJC/1256/2021 del 7 ottobre 2021</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(art. 321 CPC), le recours est recevable.</w:t>
      </w:r>
    </w:p>
    <w:p>
      <w:r>
        <w:rPr>
          <w:b/>
        </w:rPr>
        <w:t>E. 1.2</w:t>
      </w:r>
    </w:p>
    <w:p>
      <w:r>
        <w:t>La cognition de la Cour est limitée à la constatation manifestement inexacte des faits et à la violation du droit (art. 320 CPC).</w:t>
      </w:r>
    </w:p>
    <w:p>
      <w:r>
        <w:t>- 3/9 -</w:t>
      </w:r>
    </w:p>
    <w:p>
      <w:r>
        <w:t>C/12926/2021</w:t>
      </w:r>
    </w:p>
    <w:p>
      <w:r>
        <w:rPr>
          <w:b/>
        </w:rPr>
        <w:t>E. 2</w:t>
      </w:r>
    </w:p>
    <w:p>
      <w:r>
        <w:t>Les recourants critiquent la quotité de l'avance de frais requise en première instance, invoquant en particulier une application erronée de l'art. 13 RTFMC et la violation de directives internes du Tribunal accessibles au public.</w:t>
      </w:r>
    </w:p>
    <w:p>
      <w:r>
        <w:rPr>
          <w:b/>
        </w:rPr>
        <w:t>E. 2.1.1</w:t>
      </w:r>
    </w:p>
    <w:p>
      <w:r>
        <w:t>Aux termes de l'art. 98 CPC, le tribunal peut exiger du demandeur une avance à concurrence de la totalité des frais judiciaires présumés. L'avance a un double but: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art. 98 CPC).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100'000 fr. à 200'000 fr. pour une demande en paiement dont la valeur litigieuse porte sur un montant supérieur à 10'000'000 fr. Selon l'art. 13 RTFMC, les émoluments sont majorés de 20% en cas de pluralité de demandeurs ou de défendeurs. Par ailleurs, si des circonstances particulières le justifient, l'émolument peut être majoré jusqu'à concurrence du double du montant maximal (art. 6 RTFMC). D'après le Tarif interne des demandes d'avances de frais pour le TPI, adopté par la présidence du Tribunal le 28 janvier 2011 et modifié en dernier lieu le 12 octobre 2018, disponible sur le site Internet du Pouvoir judiciaire, la majoration de 20% prévue à l'art. 13 RTFMC ne peut pas conduire à la fixation d'une avance de frais supérieure à 200'000 fr. (cf. chiffre 1.2 du Tarif). Une note à l'intention des utilisateurs du Tarif précise que celui-ci constitue un outil d'aide à la décision pour la fixation par le juge, dans le cadre des dispositions</w:t>
      </w:r>
    </w:p>
    <w:p>
      <w:r>
        <w:t>- 4/9 -</w:t>
      </w:r>
    </w:p>
    <w:p>
      <w:r>
        <w:t>C/12926/2021 du CPC, de la LaCC et du RTFMC, du montant des avances de frais judiciaires, et qu'il ne constitue ni une source juridique ni des directives et n'a aucune force obligatoire, le juge conservant dans l'application des dispositions légales et réglementaires une large marge d'appréciation.</w:t>
      </w:r>
    </w:p>
    <w:p>
      <w:r>
        <w:rPr>
          <w:b/>
        </w:rPr>
        <w:t>E. 2.1.2</w:t>
      </w:r>
    </w:p>
    <w:p>
      <w:r>
        <w:t>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w:t>
      </w:r>
    </w:p>
    <w:p>
      <w:r>
        <w:rPr>
          <w:b/>
        </w:rPr>
        <w:t>E. 2.1.3</w:t>
      </w:r>
    </w:p>
    <w:p>
      <w:r>
        <w:t>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L’avance de frais ne préjuge pas de la décision à rendre plus tard quant au montant des frais judiciaires (arrêt du Tribunal fédéral 4A_226/2014 du 6 août 2014 consid. 2.1). Par conséquent, la Cour examine la cause avec une certaine réserve. Ainsi, seul un abus du pouvoir d'appréciation du juge constitue une violation de la loi (ACJC/1547/2018 du 8 novembre 2018; ACJC/278/2014 du 25 février 2014; ACJC/208/2014 du 13 février 2014; TAPPY, op. cit., n. 8 ad. art. 98 CPC).</w:t>
      </w:r>
    </w:p>
    <w:p>
      <w:r>
        <w:rPr>
          <w:b/>
        </w:rPr>
        <w:t>E. 2.2.1</w:t>
      </w:r>
    </w:p>
    <w:p>
      <w:r>
        <w:t>Selon l'art. 70 CPC, les parties à un rapport de droit qui n’est susceptible que d’une décision unique doivent agir ou être actionnées conjointement. C'est le droit matériel, et non le droit de procédure, qui détermine les cas dans lesquels plusieurs personnes doivent mener ensemble une procédure (ATF 138 III 737 (consid. 4.1). Forment des consorités matérielles nécessaires actives les différentes communautés du droit civil : communauté de biens (art. 221 ss CC), indivision de</w:t>
      </w:r>
    </w:p>
    <w:p>
      <w:r>
        <w:t>- 5/9 -</w:t>
      </w:r>
    </w:p>
    <w:p>
      <w:r>
        <w:t>C/12926/2021 famille (art. 336 s. CC), communauté héréditaire (art. 602 CC), propriété en main commune (art. 652 CC), société simple (art. 530 ss CO).</w:t>
      </w:r>
    </w:p>
    <w:p>
      <w:r>
        <w:rPr>
          <w:b/>
        </w:rPr>
        <w:t>E. 2.2.2</w:t>
      </w:r>
    </w:p>
    <w:p>
      <w:r>
        <w:t>Institution inconnue du droit suisse, le trust, constitué à l'étranger, est néanmoins reconnu en Suisse depuis le 1er juillet 2007 (cf. Convention de La Haye du 1er juillet 1985 relative à la loi applicable au trust et à sa reconnaissance; CLaH-Trust; RS 0.221.371; arrêt du Tribunal fédéral 5A_30/2020 du 6 mai 2020 consid. 3.1 et les références citées). Le mécanisme de base du trust consiste en ce qu’une personne (le constituant; settlor) extrait des biens de son patrimoine personnel et en transfère la propriété à une autre personne (le trustee), laquelle doit les administrer dans l’intérêt d’une troisième personne, le bénéficiaire (beneficiary; GUILLAUME, Commentaire romand, Loi sur le droit international privé - Convention de Lugano, n. 1 ad intro. aux art. 149a-149e LDIP). Le trustee a pour obligation de gérer le patrimoine confié et de l'utiliser dans un but établi à l'avance par le constituant. Le trust n'est pas une personne morale, de sorte qu'il n'est le propriétaire ni des biens constituant le trust, ni des revenus qui en découlent. Le propriétaire légal (legal ownership) des biens est le trustee, mais le patrimoine du trust ne se mélange toutefois pas à la fortune propre du trustee et en constitue une masse distincte (arrêt du Tribunal fédéral 5A_30/2020 précité consid. 3.1). Dans un système juridique tel que la Suisse ne connaissant pas le dédoublement du droit de propriété (contrairement au système anglo-saxon, qui reconnaît au bénéficiaire une sorte de propriété économique sur les biens en trust), le trustee doit être considéré comme le seul propriétaire desdits biens. Peu importe qu’il n’en ait pas la jouissance (GUILLAUME, op. cit., n. 12 ad intro. aux art. 149a-149e LDIP). Conformément à l’art. 11 al. 2 CLaH-Trust, la reconnaissance d’un trust étranger implique notamment que le trustee puisse agir comme demandeur ou défendeur, ou comparaître en qualité de trustee devant un notaire ou toute personne exerçant une autorité publique. Il représente le trust en sa qualité de trustee. Ce dernier a ainsi qualité pour agir et pour défendre dans les affaires relevant du droit des trusts (GUILLAUME, op. cit., n. 44 ad art. 149a-e LDIP et n. 6 ad art. 149b LDIP; cf. également DOMEJ, in Kurzkommentar, ZPO, 2021, n. 9 ad art. 66 ZPO; TENCHIO, Basler Kommentar Schweizerische Zivilprozessordnung (ZPO), 2017, n. 48 ad art. 66 ZPO). L’on peut généralement assimiler la propriété des trustees sur le fonds du trust à une forme de propriété commune dont les trustees disposent en principe conjointement et à l’unanimité (THEVENOZ, Trusts en Suisse, Adhésion à la Convention de La Haye sur les trusts et codification de la fiducie, 2001, p. 75).</w:t>
      </w:r>
    </w:p>
    <w:p>
      <w:r>
        <w:t>- 6/9 -</w:t>
      </w:r>
    </w:p>
    <w:p>
      <w:r>
        <w:t>C/12926/2021 Les co-trustees d’une Treuhänderschaft liechtensteinoise forment une consorité nécessaire en ce qui concerne les actions relatives au patrimoine fiduciaire (THEVENOZ/ZOBL, Le droit bancaire privé suisse 2006-2007, SZW/RSDA 4/2007, p. 312 et les références citées).</w:t>
      </w:r>
    </w:p>
    <w:p>
      <w:r>
        <w:rPr>
          <w:b/>
        </w:rPr>
        <w:t>E. 2.3.1</w:t>
      </w:r>
    </w:p>
    <w:p>
      <w:r>
        <w:t>En l'occurrence, les recourants ne contestent pas qu'au regard de la valeur litigieuse en cause (25'724'702 fr.), l'avance de frais relative à leur action en revendication pouvait être fixée à 200'000 fr., conformément à l'art. 17 RTFMC. Ils reprochent en revanche au Tribunal d'avoir majoré de 20% l'émolument de 200'000 fr. sur la base de l'art. 13 RTFMC, alors qu'ils ne devraient, selon eux, pas être considérés comme deux demandeurs, mais plutôt comme deux représentants du trust, devant agir conjointement en justice. Leur argumentation ne peut être suivie. Dans la mesure où le droit d'un trustee sur les biens en trust doit être qualifié de pleine propriété, il faut admettre que les recourants sont assimilables à des propriétaires en mains communes, formant une consorité nécessaire dans le cadre de leur action en justice. Conformément aux règles rappelées ci-dessus, tous deux agissent comme demandeurs, de sorte que l'art. 13 RTFMC concernant la situation d'une pluralité de demandeurs (ou de défendeurs) trouve bien application pour la fixation de l'avance de frais requise. Par ailleurs, la circonstance que le Tarif interne du Tribunal soit accessible au public en vertu du principe de transparence consacré par la loi genevoise sur l'information du public, l'accès aux documents et la protection des données personnelles (LIPAD; RS/GE A 2 08) ne lui confère aucune force contraignante (cf. arrêts du Tribunal fédéral 1C_604/2015, 1C_606/2015 du 13 juin 2016; cf. également ACJC/298/2015 du 10 mars 2015 consid. 3.1), ce que le document en question rappelle d'ailleurs expressément à ses utilisateurs. Dès lors que le Tarif précité constitue un simple outil d'aide à la décision, qui ne lie pas les juges, et que ces derniers disposent d'un important pouvoir d'appréciation dans la fixation des frais présumables d'un procès, les critiques des recourants au sujet du non- respect du chiffre 1.2 dudit Tarif sont infondées. La décision d'avance de frais querellée se réfère à la valeur litigieuse ainsi qu'aux art. 91ss, 98 et 101 al. 1 CPC et aux art. 2, 13 et 17 du RTFMC. Bien que cette décision soit ainsi succinctement motivée, on comprend que la Présidente du Tribunal s'est fondée sur la valeur litigieuse et le tarif qui lui est applicable. Ainsi, même brève, cette motivation est suffisante, puisqu'elle permet de comprendre les motifs sur lesquels la décision est fondée, sans qu'il soit nécessaire qu'elle expose pour quels motifs elle s'écartait des directives internes du Tribunal. Le montant réclamé de 240'000 fr. se situe dans la fourchette prévue pour une valeur litigieuse supérieure à 10'000'000 fr., et les recourants ne soutiennent pas</w:t>
      </w:r>
    </w:p>
    <w:p>
      <w:r>
        <w:t>- 7/9 -</w:t>
      </w:r>
    </w:p>
    <w:p>
      <w:r>
        <w:t>C/12926/2021 que l'avance requise rendrait excessivement difficile leur accès à la justice ou qu'elle violerait le principe d'équivalence. Par conséquent, le premier juge n'a pas excédé son pouvoir d'appréciation en requérant une avance de frais de 240'000 fr., de sorte que le recours sera rejeté. Pour le surplus, il sera rappelé qu'une éventuelle réduction ultérieure de l'avance de frais est possible, lorsqu'au cours du procès, celle-ci s'avère trop élevée (arrêt du Tribunal fédéral 4A_226/2014 du 6 août 2014 consid. 2.1 et 3.3). Au demeurant, l'avance de frais, au sens de l'art. 98 CPC, n'arrête pas ceux-ci au sens de l'art. 104 al. 1 CPC. Comme l'a rappelé à juste titre le Tribunal, c'est seulement dans la décision finale que le montant définitif de l'émolument de décision sera fixé. Le cas échéant, le montant des frais pourra être contesté à ce moment-là.</w:t>
      </w:r>
    </w:p>
    <w:p>
      <w:r>
        <w:rPr>
          <w:b/>
        </w:rPr>
        <w:t>E. 2.3.2</w:t>
      </w:r>
    </w:p>
    <w:p>
      <w:r>
        <w:t>Le délai initialement imparti aux recourants pour s'acquitter de l'avance de frais étant échu et l'effet suspensif ayant été accordé, un délai de 30 jours dès la notification du présent arrêt leur sera imparti pour la verser.</w:t>
      </w:r>
    </w:p>
    <w:p>
      <w:r>
        <w:rPr>
          <w:b/>
        </w:rPr>
        <w:t>E. 3</w:t>
      </w:r>
    </w:p>
    <w:p>
      <w:r>
        <w:t>Les recourants, qui succombent, seront condamnés au paiement des frais judiciaires du recours, arrêtés à 600 fr., y compris les frais pour la décision incidente de la Cour sur demande d'effet suspensif (art. 106 al. 1 CPC; art. 41, 13, 23 RTFMC), partiellement compensés par l'avance de frais, qui reste acquise à l'Etat de Genève (art. 111 al. 1 CPC). Ils seront condamnés à verser 200 fr. à l'Etat de Genève, soit pour lui les Services financiers du Pouvoir judiciaire, à titre de solde de frais judiciaires. Il n'y a pas lieu à l'allocation de dépens. * * * * *</w:t>
      </w:r>
    </w:p>
    <w:p>
      <w:r>
        <w:t>- 8/9 -</w:t>
      </w:r>
    </w:p>
    <w:p>
      <w:r>
        <w:t>C/12926/2021 PAR CES MOTIFS, La Chambre civile : A la forme : Déclare recevable le recours interjeté par A______ LTD et B______ contre la décision DTPI/7073/2021 rendue le 7 juillet 2021 par le Tribunal de première instance dans la cause C/12926/2021. Au fond : Le rejette. Impartit à A______ LTD et B______ un délai de 30 jours dès la notification du présent arrêt pour fournir l'avance de frais de 240'000 fr. Déboute les parties de toute autre conclusion. Sur les frais : Arrête les frais judiciaires du recours à 600 fr., les met à la charge de A______ LTD et B______, pris solidairement, et dit qu'ils sont partiellement compensés avec l'avance de frais versée, qui reste acquise à l'Etat de Genève. Condamne A______ LTD et B______ à verser 200 fr. à l'Etat de Genève, soit pour lui les Services financiers du Pouvoir judiciaire, à titre de solde de frais judiciaires. Dit qu'il n'est pas alloué de dépens de recours. Siégeant : Monsieur Laurent RIEBEN, président; Monsieur Patrick CHENAUX, Madame Fabienne GEISINGER-MARIETHOZ, juges; Sophie MARTINEZ, greffière.</w:t>
      </w:r>
    </w:p>
    <w:p>
      <w:r>
        <w:t>- 9/9 -</w:t>
      </w:r>
    </w:p>
    <w:p>
      <w:r>
        <w:t>C/12926/2021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