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ACJC/1255/2015 vom 21. Oktober 2015</w:t>
      </w:r>
    </w:p>
    <w:p>
      <w:r>
        <w:t>GE Cour de justice, 2015-10-21, FR</w:t>
      </w:r>
    </w:p>
    <w:p>
      <w:r>
        <w:rPr>
          <w:b/>
        </w:rPr>
        <w:t xml:space="preserve">Quelle: </w:t>
      </w:r>
      <w:r>
        <w:t>https://mcp.opencaselaw.ch/entscheid/ge_gerichte_ACJC_1255_2015</w:t>
      </w:r>
    </w:p>
    <w:p>
      <w:r>
        <w:t>FR: GE_GERICHTE ACJC/1255/2015 du 21 octobre 2015</w:t>
      </w:r>
    </w:p>
    <w:p>
      <w:r>
        <w:t>IT: GE_GERICHTE ACJC/1255/2015 del 21 ottobre 2015</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w:t>
      </w:r>
    </w:p>
    <w:p>
      <w:r>
        <w:t>- 6/14 -</w:t>
      </w:r>
    </w:p>
    <w:p>
      <w:r>
        <w:t>C/24073/2014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2</w:t>
      </w:r>
    </w:p>
    <w:p>
      <w:r>
        <w:t>La présente cause présente des éléments d'extranéité en raison de la nationalité étrangère des parties. Celles-ci ne contestent, à juste titre, pas la compétence des autorités judiciaires genevoises (art. 59 et 62 al. 1 LDIP) et l'application du droit suisse (art. 62 al. 2 LDIP; art. 4 al. 1 de la Convention de La Haye sur la loi applicable aux obligations alimentaires du 2 octobre 1973 - RS 0.211.213.01) au présent litige.</w:t>
      </w:r>
    </w:p>
    <w:p>
      <w:r>
        <w:rPr>
          <w:b/>
        </w:rPr>
        <w:t>E. 2.1</w:t>
      </w:r>
    </w:p>
    <w:p>
      <w:r>
        <w:t>et 5.1).</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w:t>
      </w:r>
    </w:p>
    <w:p>
      <w:r>
        <w:rPr>
          <w:b/>
        </w:rPr>
        <w:t>E. 4.1</w:t>
      </w:r>
    </w:p>
    <w:p>
      <w:r>
        <w:t>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w:t>
      </w:r>
    </w:p>
    <w:p>
      <w:r>
        <w:t>- 7/14 -</w:t>
      </w:r>
    </w:p>
    <w:p>
      <w:r>
        <w:t>C/24073/2014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w:t>
      </w:r>
    </w:p>
    <w:p>
      <w:r>
        <w:rPr>
          <w:b/>
        </w:rPr>
        <w:t>E. 4.2</w:t>
      </w:r>
    </w:p>
    <w:p>
      <w:r>
        <w:t>En l'espèce, il n'est pas contesté que les revenus de l'intimé se sont péjorés de manière sensible, durable et imprévisible depuis le prononcé des mesures</w:t>
      </w:r>
    </w:p>
    <w:p>
      <w:r>
        <w:t>- 8/14 -</w:t>
      </w:r>
    </w:p>
    <w:p>
      <w:r>
        <w:t>C/24073/2014 protectrices de l'union conjugale le 18 août 2011. De plus, C______ est dorénavant domiciliée chez son père. Il convient, par conséquent, de procéder à un nouvel examen de la situation financière des parties à compter de la date du dépôt de la présente requête de mesures provisionnelles, afin de déterminer si le montant des contributions à l'entretien de l'appelante et de D______ doit être modifié.</w:t>
      </w:r>
    </w:p>
    <w:p>
      <w:r>
        <w:rPr>
          <w:b/>
        </w:rPr>
        <w:t>E. 5</w:t>
      </w:r>
    </w:p>
    <w:p>
      <w:r>
        <w:t>L'appelante conclut, en appel, au versement de 3'684 fr. à titre de contribution pour son propre entretien, de 878 fr. à titre de contribution à l'entretien de l'enfant D______ et 552 fr. 60 à titre de participation à l'excédent. Elle reproche au premier juge d'avoir tenu compte d'un loyer excessif dans les charges de son époux et du remboursement du prêt d'études de E______ allégué par son époux, alors que cette dernière charge n'est pas établie. Ce faisant, il avait été donné préférence à l'entretien d'un enfant majeur, alors que son propre minimum vital n'était pas couvert.</w:t>
      </w:r>
    </w:p>
    <w:p>
      <w:r>
        <w:rPr>
          <w:b/>
        </w:rPr>
        <w:t>E. 5.1</w:t>
      </w:r>
    </w:p>
    <w:p>
      <w:r>
        <w:t>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5.2</w:t>
      </w:r>
    </w:p>
    <w:p>
      <w:r>
        <w:t>Le législateur n'a pas arrêté de mode de calcul pour fixer la contribution à l'entretien d'enfants mineurs (ATF 128 III 411 consid. 3.2.2). L'une des méthodes</w:t>
      </w:r>
    </w:p>
    <w:p>
      <w:r>
        <w:t>- 9/14 -</w:t>
      </w:r>
    </w:p>
    <w:p>
      <w:r>
        <w:t>C/24073/2014 préconisées par la doctrine et considérée comme conforme au droit fédéral est celle dite du minimum vital, avec répartition de l'excédent.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L'aide sociale est subsidiaire aux obligations d'entretien du droit de la famille et n'est pas prise en compte dans les revenus du crédirentier (arrêt du Tribunal fédéral 5A_158/2010 du 25 mars 2010 consid. 3.2). Le minimum vital du débirentier doit en principe être préservé (ATF 137 III 59 consid. 4.2). En tout état, le juge dispose d'un large pouvoir d'appréciation (art. 4 CC).</w:t>
      </w:r>
    </w:p>
    <w:p>
      <w:r>
        <w:rPr>
          <w:b/>
        </w:rPr>
        <w:t>E. 5.3</w:t>
      </w:r>
    </w:p>
    <w:p>
      <w:r>
        <w:t>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 Une contribution versée à des enfants majeurs sur la base d'un jugement n'entre pas dans le minimum vital du droit des poursuites, car l'obligation d'entretien du conjoint l'emporte sur celle de l'enfant majeur (ATF 132 III 209 consid. 2.3; arrêts du Tribunal fédéral 5A_743/2012 du 6 mars 2013 consid. 6.3.3 et 5A_673/2011 du 11 avril 2012 consid. 2.3.1; BASTONS BULLETTI, op. cit., p. 87). En revanche, dès que la situation le permet, c'est-à-dire dès que les ressources permettent de couvrir les charges incluses dans le minimum vital du droit de la poursuite, on peut encore ajouter dans le minimum vital des époux l'assistance versée à des</w:t>
      </w:r>
    </w:p>
    <w:p>
      <w:r>
        <w:t>- 10/14 -</w:t>
      </w:r>
    </w:p>
    <w:p>
      <w:r>
        <w:t>C/24073/2014 tiers, tels que les enfants majeurs, sur la base d'un jugement, d'une obligation juridique ou morale, si le versement régulier est établi par pièces et s'il ne dépasse pas une mesure raisonnable eu égard aux revenus du débiteur, lequel, le cas échéant, sera renvoyé à requérir la modification du jugement qui l'astreint à cette contribution. (BASTONS BULLETTI, op. cit., in SJ 2007 II p. 91).</w:t>
      </w:r>
    </w:p>
    <w:p>
      <w:r>
        <w:rPr>
          <w:b/>
        </w:rPr>
        <w:t>E. 5.4</w:t>
      </w:r>
    </w:p>
    <w:p>
      <w:r>
        <w:t>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w:t>
      </w:r>
    </w:p>
    <w:p>
      <w:r>
        <w:rPr>
          <w:b/>
        </w:rPr>
        <w:t>E. 5.5</w:t>
      </w:r>
    </w:p>
    <w:p>
      <w:r>
        <w:t>Les parties ne contestent, à juste titre, pas l'application de la méthode du minimum vital pour la détermination de leur situation financière.</w:t>
      </w:r>
    </w:p>
    <w:p>
      <w:r>
        <w:rPr>
          <w:b/>
        </w:rPr>
        <w:t>E. 5.6</w:t>
      </w:r>
    </w:p>
    <w:p>
      <w:r>
        <w:t>L'intimé réalise, depuis novembre 2014, un salaire net moyen de 9'500 fr. par mois au minimum, compte tenu du fait qu'il est éligible au paiement d'un bonus variable (néanmoins inconnu à ce jour). Au regard de la situation financière des parties, un demi-loyer de 2'850 fr. (5'700 fr. au total) apparaît excessif. Il sera dès lors tenu compte de la moitié d'un loyer de 4'500 fr. (2'250 fr.) admis par l'appelante. De même, conformément à la jurisprudence précitée, le remboursement du prêt d'études de E______ ne peut être comptabilisé dans les charges de l'intimé, alors que les charges incompressibles de l'appelante ne sont pas couvertes, comme cela sera développé ci-après. Il sera en tout état relevé que, si l'existence de ce prêt est établie, celui-ci est échu en septembre 2015 et que le paiement de mensualités de remboursement n'est justifié par aucune pièce. Les charges incompressibles admissibles de l'intimé s'élèvent donc à environ 3'000 fr., comprenant notamment la moitié de son loyer admis (1'800 fr., correspondant à la moitié 4'500 fr. moins la participation de 20% de C______; cf. supra EN FAIT let. C.g.a).</w:t>
      </w:r>
    </w:p>
    <w:p>
      <w:r>
        <w:t>L'intimé a ainsi un solde disponible de 6'500 fr. par mois.</w:t>
      </w:r>
    </w:p>
    <w:p>
      <w:r>
        <w:rPr>
          <w:b/>
        </w:rPr>
        <w:t>E. 5.7</w:t>
      </w:r>
    </w:p>
    <w:p>
      <w:r>
        <w:t>L'appelante, qui n'exerce aucune activité lucrative, est actuellement aidée financièrement par l'Hospice général. Ses charges incompressibles s'élèvent à environ 3'652 fr. (cf. supra EN FAIT let. C.g.b, mais en tenant compte d'un prime d'assurance maladie de 341 fr. 70 dès 2015).</w:t>
      </w:r>
    </w:p>
    <w:p>
      <w:r>
        <w:t>Elle doit ainsi faire face à un déficit de 3'652 fr. par mois.</w:t>
      </w:r>
    </w:p>
    <w:p>
      <w:r>
        <w:t>- 11/14 -</w:t>
      </w:r>
    </w:p>
    <w:p>
      <w:r>
        <w:t>C/24073/2014</w:t>
      </w:r>
    </w:p>
    <w:p>
      <w:r>
        <w:rPr>
          <w:b/>
        </w:rPr>
        <w:t>E. 5.8</w:t>
      </w:r>
    </w:p>
    <w:p>
      <w:r>
        <w:t>Les charges incompressibles de D______ se montent à environ 879 fr. (cf. EN FAIT let. C.g.c.) et celles de C______ à 838 fr. (450 fr. de participation au loyer + 388 fr. de charges retenues par le premier juge; cf. supra EN FAIT let. C.g.a).</w:t>
      </w:r>
    </w:p>
    <w:p>
      <w:r>
        <w:rPr>
          <w:b/>
        </w:rPr>
        <w:t>E. 5.9</w:t>
      </w:r>
    </w:p>
    <w:p>
      <w:r>
        <w:t>Il ressort dès lors de l'ensemble de ce qui précède que, compte tenu de la situation financière respective des parties et, en particulier du fait que l'intimé dispose d'un solde de 6'500 fr. par mois, le premier juge n'a pas outrepassé son pouvoir d'appréciation en donnant acte à l'intimé de son engagement à verser une contribution mensuelle de 1'000 fr. par mois pour l'entretien de D______, de sorte que celle-ci sera confirmée. S'agissant, en revanche, de la contribution à l'entretien de l'appelante, il se justifie d'arrêter l'obligation de son époux à son égard au montant de 3'650 fr.</w:t>
      </w:r>
    </w:p>
    <w:p>
      <w:r>
        <w:t>Au regard de la jurisprudence précitée et dans la mesure où le minimum vital de l'appelante est ainsi couvert, l'excédent du disponible de l'intimé d'un montant de 1'850 fr. ne sera pas réparti entre les époux, mais demeurera en mains du débirentier pour lui permettre d'entretenir C______ dans une même mesure que sa sœur D______ par égalité de traitement (1'000 fr. au lieu des 838 fr. retenus), ainsi que d'entretenir E______, l'appelante ne contestant pas le fait que l'intimé assume sa charge financière, laquelle est indéniable compte tenu de la poursuite des études à l'étranger de cette enfant majeure.</w:t>
      </w:r>
    </w:p>
    <w:p>
      <w:r>
        <w:rPr>
          <w:b/>
        </w:rPr>
        <w:t>E. 5.10</w:t>
      </w:r>
    </w:p>
    <w:p>
      <w:r>
        <w:t>L'appelante a remis en cause le dies a quo fixé par le premier juge au jour du dépôt de la requête, demandant sa fixation au 12 juin 2015. Au vu de l'absence de motivation de l'appel sur cette question, il ne sera pas entré en matière sur ce point (REETZ/THEILER, Kommentar zur Schweizerischen Zivilprozessordnung, 2013, n. 12 et n. 38 ad art. 311 CPC).</w:t>
      </w:r>
    </w:p>
    <w:p>
      <w:r>
        <w:rPr>
          <w:b/>
        </w:rPr>
        <w:t>E. 5.11</w:t>
      </w:r>
    </w:p>
    <w:p>
      <w:r>
        <w:t>Par conséquent, le ch. 3 du dispositif de l'ordonnance entreprise sera annulé et reformulé dans le sens de ce qui précède.</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w:t>
      </w:r>
    </w:p>
    <w:p>
      <w:r>
        <w:t>- 12/14 -</w:t>
      </w:r>
    </w:p>
    <w:p>
      <w:r>
        <w:t>C/24073/2014 et 31 du Règlement fixant le tarif des greffes en matière civile, RTFMC - RS/GE E 1 05.10), l'ordonnance entreprise sera confirmée sur ce point.</w:t>
      </w:r>
    </w:p>
    <w:p>
      <w:r>
        <w:rPr>
          <w:b/>
        </w:rPr>
        <w:t>E. 6.2</w:t>
      </w:r>
    </w:p>
    <w:p>
      <w:r>
        <w:t>Les frais judiciaires de la procédure d'appel sont fixés à 1'000 fr. (art. 31 et 37 RTFMC). Pour des motifs d'équité liés à la nature et à l'issue du litige, ils seront répartis à parts égales entre les parties (art. 95, 104 al. 1, 105, 106 al. 1 et 107 al. 1 let. c CPC). L'intimé sera, en conséquence, condamné à verser la somme de 500 fr. aux Services financiers du Pouvoir judiciaire. L'appelante plaidant au bénéfice de l'assistance judiciaire, sa part sera provisoirement laissée à la charge de l'Etat (art. 122 al. 1 let. b et 123 CPC; art. 19 RAJ - RS/GE E 2 05.04). Pour les mêmes motifs, chaque partie supportera ses propres dépens (art. 107 al. 1 let. c. CPC).</w:t>
      </w:r>
    </w:p>
    <w:p>
      <w:r>
        <w:rPr>
          <w:b/>
        </w:rPr>
        <w:t>E. 7</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- 13/14 -</w:t>
      </w:r>
    </w:p>
    <w:p>
      <w:r>
        <w:t>C/24073/2014 PAR CES MOTIFS, La Chambre civile : A la forme : Déclare recevable l'appel interjeté le 26 juin 2015 par A______ contre le chiffre 3 du dispositif de l'ordonnance OTPI/350/2015 rendue le 12 juin 2015 par le Tribunal de première instance dans la cause C/24073/2014-2. Au fond : Annule le chiffre 3 du dispositif de la décision entreprise. Cela fait et statuant à nouveau : Donne acte à B______ de son engagement à verser en mains de A______, par mois et d'avance, allocations familiales non comprises, la somme de 1'000 fr. à titre de contribution à l'entretien de l'enfant D______ avec effet au 25 novembre 2014. L'y condamne en tant que de besoin. Condamne B______ à verser en mains de A______, par mois et d'avance, la somme de 3'650 fr. à titre de contribution à son propre entretien avec effet au 25 novembre 2014. Déboute les parties de toutes autres conclusions. Sur les frais : Arrête les frais judiciaires de l'appel à 1'000 fr., les met à la charge des parties par moitié chacune, à savoir 500 fr. à la charge de A______ et 500 fr. à la charge de B______. Condamne B______ à verser la somme de 500 fr. aux Services financiers du Pouvoir judiciaire à titre de paiement de sa part des frais judiciaires. Laisse provisoirement les frais de A______ à la charge de l'Etat.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- 14/14 -</w:t>
      </w:r>
    </w:p>
    <w:p>
      <w:r>
        <w:t>C/24073/2014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