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ACJC/1254/2022 vom 9. Juni 2022</w:t>
      </w:r>
    </w:p>
    <w:p>
      <w:r>
        <w:t>GE Cour de justice, 2022-06-09, FR</w:t>
      </w:r>
    </w:p>
    <w:p>
      <w:r>
        <w:rPr>
          <w:b/>
        </w:rPr>
        <w:t xml:space="preserve">Quelle: </w:t>
      </w:r>
      <w:r>
        <w:t>https://mcp.opencaselaw.ch/entscheid/ge_gerichte_ACJC_1254_2022</w:t>
      </w:r>
    </w:p>
    <w:p>
      <w:r>
        <w:t>FR: GE_GERICHTE ACJC/1254/2022 du 9 juin 2022</w:t>
      </w:r>
    </w:p>
    <w:p>
      <w:r>
        <w:t>IT: GE_GERICHTE ACJC/1254/2022 del 9 giugno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Le recours joint (art. 323 CPC) ainsi que les conclusions nouvelles (art. 326 al. 1 CPC) étant irrecevables, il ne sera pas entré en matière sur la conclusion de l'intimée tendant à ce qu’une "indemnité de préjudice" lui soit allouée. L'intimée a également produit des pièces nouvelles, qui sont également irrecevables (art. 326 al. 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soutient que conformément à l'art. 147 al. 2 CO et à la jurisprudence, le paiement effectué par D______ n'a pas libéré l'intimée du paiement du solde de la dette.</w:t>
      </w:r>
    </w:p>
    <w:p>
      <w:r>
        <w:rPr>
          <w:b/>
        </w:rPr>
        <w:t>E. 2.1.1</w:t>
      </w:r>
    </w:p>
    <w:p>
      <w:r>
        <w:t>Aux termes de l'art. 80 al. 1 LP, le créancier qui est au bénéfice d'un jugement exécutoire peut requérir du juge la mainlevée définitive de l'opposition.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w:t>
      </w:r>
    </w:p>
    <w:p>
      <w:r>
        <w:t>- 5/9 -</w:t>
      </w:r>
    </w:p>
    <w:p>
      <w:r>
        <w:t>C/21963/2020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447 ss). Il n'a ni à revoir ni à interpréter le titre qui lui est soumis (ATF 140 III 180 consid. 5.2.1 p. 190; 124 III 501 consid. 3a p. 503).</w:t>
      </w:r>
    </w:p>
    <w:p>
      <w:r>
        <w:rPr>
          <w:b/>
        </w:rPr>
        <w:t>E. 2.1.2</w:t>
      </w:r>
    </w:p>
    <w:p>
      <w:r>
        <w:t>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Par "extinction de la dette", l'art. 81 al. 1 LP ne vise pas seulement le paiement, mais aussi toute autre cause de droit civil, comme la remise de dette, la compensation ou l'accomplissement d'une condition résolutoire (ATF 124 III 501 consid. 3b et les références). La loi elle-même (art. 81 al. 1 LP) imposant au débiteur le fardeau de la preuve et fixant le mode de preuve, le juge ne peut admettre que les moyens de défense du débiteur que celui-ci prouve par titre. A la différence de ce qui se passe pour la mainlevée provisoire (art. 82 al. 2 LP), il ne suffit donc pas d'invoquer la vraisemblance du paiement: le titre de mainlevée au sens de l'art. 81 al. 1 LP créant la présomption que la dette existe, cette présomption ne peut être renversée que par la preuve stricte du contraire (ATF 104 Ia 14 consid. 2 p. 15).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p. 101; ATF 113 III 82 consid. 2c p. 86).</w:t>
      </w:r>
    </w:p>
    <w:p>
      <w:r>
        <w:rPr>
          <w:b/>
        </w:rPr>
        <w:t>E. 2.1.3</w:t>
      </w:r>
    </w:p>
    <w:p>
      <w:r>
        <w:t>Selon l'art. 496 al. 1 CO,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Aux termes de l'art. 147 CO, celui des débiteurs solidaires dont le paiement ou la compensation éteint la dette en totalité ou en partie libère les autres jusqu'à</w:t>
      </w:r>
    </w:p>
    <w:p>
      <w:r>
        <w:t>- 6/9 -</w:t>
      </w:r>
    </w:p>
    <w:p>
      <w:r>
        <w:t>C/21963/2020 concurrence de la portion éteinte (al. 1). Si l'un des débiteurs solidaires est libéré sans que la dette ait été payée, sa libération ne profite aux autres que dans la mesure indiquée par les circonstances ou la nature de l'obligation (al. 2). Partant, si un débiteur solidaire est libéré, sans paiement, par le biais d'une transaction, il faut en général déterminer en interprétant celle-ci si (et dans quelle mesure) une remise de dette convenue dans cette transaction doit également avoir un effet libératoire pour les autres débiteurs solidaires, conformément à l'art. 147 al. 2 CO (arrêts du Tribunal fédéral 4A_500/2013 du 19 mars 2014 consid. 6.1 et les références, non publié aux ATF 140 III 344; 4C.27/2003 du 26 mai 2003 consid. 3.5.2, publié in SJ 2003 I p. 597). Le sens de l'accord passé par les cocontractants est toujours déterminant, compte tenu de leur volonté, qui doit être déterminée en interprétant l'accord selon les principes généraux. Il n'existe pas de place pour une règle constante, selon laquelle les codébiteurs solidaires qui ne sont pas parties à la transaction devraient être libérés (ATF 133 III 116 consid. 4.3). Il n'appartient pas au juge de la mainlevée d'interpréter, au sens de l'art. 18 al. 1 CO, une transaction judiciaire (ATF 143 III 564, consid. 4).</w:t>
      </w:r>
    </w:p>
    <w:p>
      <w:r>
        <w:rPr>
          <w:b/>
        </w:rPr>
        <w:t>E. 2.2</w:t>
      </w:r>
    </w:p>
    <w:p>
      <w:r>
        <w:t>En l'espèce, le Tribunal a refusé de prononcer la mainlevée de l'opposition aux postes 1 à 3 du commandement de payer au motif que la dette de la recourante aurait été éteinte à la suite de la conclusion de la convention entre cette dernière et D______, le montant ayant été versé "pour solde de toutes prétentions". Ladite convention a alloué à la recourante un montant de 15'000 fr., alors que le titre de mainlevée invoqué par cette dernière lui alloue des montants de 30'896 fr. 60 avec intérêt à 5% l'an dès le 15 décembre 2016 , 1'296 fr. avec intérêt à 5% l'an dès le 15 décembre 2016 et 1'753 fr. 15 sans intérêt. Le versement de D______ de 15'000 fr. ne couvre donc pas le total des montants accordés. Le paiement exécuté par D______ a été effectué sur la base d'une convention conclue entre celle-ci et la recourante, à laquelle l'intimée n'est pas partie. Ladite convention ne précise pas si la mention "sans reconnaissance de responsabilité et pour solde de toutes prétentions" vaut en faveur de D______ seule ou si la recourante a également renoncé à réclamer le solde de ses prétentions à l'intimée directement. Il n'appartient cependant pas au juge de la mainlevée définitive d'interpréter la convention, en l'absence de précision à cet égard. Le paiement effectué par D______ peut ainsi tout au plus venir en déduction du montant dû en vertu du jugement du 16 février 2018, mais la mention précitée ne démontre pas par titre que le solde de la dette résultant de la condamnation de l'intimée au paiement du montant fixé dans ce jugement, non couvert par la convention conclue, est éteint.</w:t>
      </w:r>
    </w:p>
    <w:p>
      <w:r>
        <w:t>- 7/9 -</w:t>
      </w:r>
    </w:p>
    <w:p>
      <w:r>
        <w:t>C/21963/2020 Au vu de ce qui précède, le recours est fondé. Le ch. 1 du dispositif du jugement attaqué sera annulé et, statuant à nouveau sur ce point, la Cour prononcera la mainlevée de l'opposition formée au commandement de payer, poursuite n° 1______, à concurrence de 15'896 fr. 60 avec intérêt à 5% dès le 15 décembre 2016 (poste n° 1), 1'296 fr., avec intérêt à 5% dès le 15 décembre 2016 (poste n° 2), 1'753 fr. 15 (poste n° 3) ainsi que 2'250 fr. (poste 4).</w:t>
      </w:r>
    </w:p>
    <w:p>
      <w:r>
        <w:rPr>
          <w:b/>
        </w:rPr>
        <w:t>E. 3</w:t>
      </w:r>
    </w:p>
    <w:p>
      <w:r>
        <w:t>L'intimée, qui succombe, sera condamnée aux frais de première et seconde instance (art. 106 al. 1 CPC). Les ch. 2 et 3 du dispositif du jugement attaqué seront donc annulés. Les frais judiciaires de première instance seront arrêtés à 400 fr. et ceux de seconde instance à 600 fr. (art. 48 et 61 OELP) et compensés avec les avances versées par la recourante, acquise à l'Etat de Genève (art. 111 CPC). L'intimée sera dès lors condamnée à verser 1'000 fr. à la recourante à ce titre. L'intimée sera également condamnée à verser à la recourante les montants de 600 fr. et 400 fr. à titre de dépens de, respectivement, première instance et seconde instance, débours et TVA inclus, au vu de l'ampleur du travail et de la difficulté de l'affaire (art. 68 al. 2 let. c et 95 al. 3 let. b CPC; art. 20 et 23 LaCC; art. 85, 89 et 90 RTFMC). * * * * *</w:t>
      </w:r>
    </w:p>
    <w:p>
      <w:r>
        <w:t>- 8/9 -</w:t>
      </w:r>
    </w:p>
    <w:p>
      <w:r>
        <w:t>C/21963/2020 PAR CES MOTIFS, La Chambre civile : A la forme : Déclare recevable le recours interjeté le 23 juin 2022 par A______ SA contre le jugement JTPI/6991/2022 rendu le 9 juin 2022 par le Tribunal de première instance dans la cause C/21963/2020-17 SML. Au fond : Annule les ch. 1 à 3 du dispositif de ce jugement et, statuant à nouveau sur ces points : Prononce la mainlevée définitive de l'opposition formée au commandement de payer, poursuite n° 1______, à concurrence de 15'896 fr. 60 avec intérêt à 5% dès le 15 décembre 2016, 1'296 fr., avec intérêt à 5% dès le 15 décembre 2016, 1'753 fr. 15 ainsi que 2'250 fr. Déboute les parties de toutes autres conclusions. Sur les frais : Arrête à 1'000 fr. les frais judiciaires de première et de seconde instance, les met à la charge de C______ SA et les compense avec les avances fournies, acquises à l'Etat de Genève. Condamne C______ SA à verser à A______ SA 1'000 fr. à titre de frais judiciaires de première et de seconde instance. Condamne C______ SA à verser à A______ SA 1'000 fr. à titre de dépens de première et de seconde instance. Siégeant : Monsieur Laurent RIEBEN, président; Madame Fabienne GEISINGER-MARIETHOZ, Monsieur Ivo BUETTI, juges; Madame Marie-Pierre GROSJEAN, greffière.</w:t>
      </w:r>
    </w:p>
    <w:p>
      <w:r>
        <w:t>Le président : Laurent RIEBEN</w:t>
      </w:r>
    </w:p>
    <w:p>
      <w:r>
        <w:t>La greffière : Marie-Pierre GROSJEAN</w:t>
      </w:r>
    </w:p>
    <w:p>
      <w:r>
        <w:t>- 9/9 -</w:t>
      </w:r>
    </w:p>
    <w:p>
      <w:r>
        <w:t>C/21963/2020</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