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ACJC/1254/2015 vom 16. Oktober 2015</w:t>
      </w:r>
    </w:p>
    <w:p>
      <w:r>
        <w:t>GE Cour de justice, 2015-10-16, FR</w:t>
      </w:r>
    </w:p>
    <w:p>
      <w:r>
        <w:rPr>
          <w:b/>
        </w:rPr>
        <w:t xml:space="preserve">Quelle: </w:t>
      </w:r>
      <w:r>
        <w:t>https://mcp.opencaselaw.ch/entscheid/ge_gerichte_ACJC_1254_2015</w:t>
      </w:r>
    </w:p>
    <w:p>
      <w:r>
        <w:t>FR: GE_GERICHTE ACJC/1254/2015 du 16 octobre 2015</w:t>
      </w:r>
    </w:p>
    <w:p>
      <w:r>
        <w:t>IT: GE_GERICHTE ACJC/1254/2015 del 16 ottobre 2015</w:t>
      </w:r>
    </w:p>
    <w:p>
      <w:pPr>
        <w:pStyle w:val="Heading2"/>
      </w:pPr>
      <w:r>
        <w:t>Erwägungen</w:t>
      </w:r>
    </w:p>
    <w:p>
      <w:r>
        <w:rPr>
          <w:b/>
        </w:rPr>
        <w:t>E. 1.1</w:t>
      </w:r>
    </w:p>
    <w:p>
      <w:r>
        <w:t>La décision sur mesures protectrices de l'union conjugale est susceptible d'un appel si l'affaire est non pécuniaire ou si, pécuniaire, sa valeur litigieuse atteint 10'000 fr. (art. 308 al. 1 let. b CPC). Si la durée des revenus et prestations périodiques est indéterminée ou illimitée, le capital est constitué du montant annuel du revenu ou de la prestation multiplié par vingt (art. 92 al. 2 CPC). En l'espèce, l'appelant a conclu en première instance à ce que la contribution à l'entretien de sa famille soit fixée à 1'000 fr. par mois et le jugement entrepris l'a fixée à 2'050 fr. mensuellement. La valeur litigieuse est largement supérieure à 10'000 fr. (1'050 fr. x 12 x 20 = 252'000 fr.).</w:t>
      </w:r>
    </w:p>
    <w:p>
      <w:r>
        <w:t>- 8/16 -</w:t>
      </w:r>
    </w:p>
    <w:p>
      <w:r>
        <w:t>C/21678/2014 La voie de l'appel est ainsi ouverte.</w:t>
      </w:r>
    </w:p>
    <w:p>
      <w:r>
        <w:rPr>
          <w:b/>
        </w:rPr>
        <w:t>E. 1.2</w:t>
      </w:r>
    </w:p>
    <w:p>
      <w:r>
        <w:t>L'appel interjeté le 23 février 2015 l'a été dans le délai de dix jours, le jugement ayant été notifié et reçu par l'appelant le 14 février 2015 (art. 271 et 314 al. 1 CPC). Contrairement à ce que soutient l'intimée, l'appel n'est pas irrecevable de ce chef.</w:t>
      </w:r>
    </w:p>
    <w:p>
      <w:r>
        <w:rPr>
          <w:b/>
        </w:rPr>
        <w:t>E. 2.1</w:t>
      </w:r>
    </w:p>
    <w:p>
      <w:r>
        <w:t>Etant une voie de réforme dans la mesure où la Cour peut confirmer la décision ou statuer à nouveau (art. 318 let. a et b CPC), l'appelant ne doit pas se borner à demander l'annulation de la décision attaquée et le renvoi de la cause à l'instance cantonale; il doit également, sous peine d'irrecevabilité, prendre des conclusions sur le fond du litige, lesquelles doivent indiquer sur quels points la partie appelante demande la modification ou l'annulation de la décision attaquée Les conclusions réformatoires doivent en outre être déterminées et précises, c'est- à-dire indiquer exactement quelles modifications sont demandées. En principe, ces conclusions doivent être libellées de telle manière que l'autorité d'appel puisse, s'il y a lieu, les incorporer sans modification au dispositif de sa propre décision (ATF 137 III 617 consid. 4.2 et 4.3; arrêt du Tribunal fédéral 4A_587/2012 du 9 janvier 2013 consid. 2). Exceptionnellement, des conclusions indéterminées et imprécises suffisent lorsque la motivation du recours ou la décision attaquée permet de comprendre d'emblée la modification requise (ATF 134 III 235 consid. 2; arrêt du Tribunal fédéral 5A_782/2013 du 9 décembre 2013 consid. 1.2).</w:t>
      </w:r>
    </w:p>
    <w:p>
      <w:r>
        <w:t>L'autorité de seconde instance peut impartir un délai à l'appelant pour rectifier des vices de forme tels que l'absence de signature (art. 132 al. 1 CPC); il ne saurait toutefois être remédié à un défaut de motivation ou à des conclusions déficientes par ce biais, de tels vices n'étant pas d'ordre purement formel et affectant l'appel de façon irréparable. La sanction est donc l'irrecevabilité de l'appel (arrêt du ATF 5A_438/2012 consid. 2.4; JEANDIN, Code de procédure civile commenté, BOHNET/HALDY/JEANDIN/SCHWEIZER/TAPPY, [éd.], 2011 n. 5 ad art. 311 CPC).</w:t>
      </w:r>
    </w:p>
    <w:p>
      <w:r>
        <w:t>Le tribunal examine d'office si les conditions de recevabilité sont remplies (art. 60 CPC).</w:t>
      </w:r>
    </w:p>
    <w:p>
      <w:r>
        <w:rPr>
          <w:b/>
        </w:rPr>
        <w:t>E. 2.2</w:t>
      </w:r>
    </w:p>
    <w:p>
      <w:r>
        <w:t>Selon une jurisprudence constante, rendue tant sous l'empire de la LOJ que de la LTF, il appartient au recourant qui exerce un recours susceptible d'aboutir à la réformation de la décision entreprise de prendre non seulement des conclusions en annulation de cette décision mais aussi des conclusions sur le fond du litige sous peine de voir son recours déclaré irrecevable. Il n'est fait exception à cette règle que lorsque la juridiction de recours, si elle admettait celui-ci, ne serait de toute manière pas à même de statuer sur le fond, mais devrait renvoyer la cause à l'instance précédente pour complément d'instruction et nouvelle décision (ATF 134 III 379 consid. 1.3; arrêts du Tribunal fédéral 4C_267/2006 du</w:t>
      </w:r>
    </w:p>
    <w:p>
      <w:r>
        <w:t>- 9/16 -</w:t>
      </w:r>
    </w:p>
    <w:p>
      <w:r>
        <w:t>C/21678/2014 13 novembre 2006 consid. 2.1 et 2.2; 4D_65/2009 du 13 juillet 2009 consid. 1.2.1; 5P_389/2004 consid. 2.3 et 2.4 in SJ 2005 I 579).</w:t>
      </w:r>
    </w:p>
    <w:p>
      <w:r>
        <w:t>Cependant, quand bien même le recourant ne prendrait que des conclusions cassatoires reposant par exemple sur une instruction insuffisante de la cause, ce vice ne conduirait pas à l'irrecevabilité du recours si le grief est fondé car dans un tel cas, la juridiction de recours ne pourrait précisément pas juger le fond de la cause avant l'exécution du complément d'enquête (arrêt du Tribunal fédéral 4A_183/2011 du 16 juin 2011 consid. 1.4).</w:t>
      </w:r>
    </w:p>
    <w:p>
      <w:r>
        <w:rPr>
          <w:b/>
        </w:rPr>
        <w:t>E. 2.3</w:t>
      </w:r>
    </w:p>
    <w:p>
      <w:r>
        <w:t>Ces principes jurisprudentiels sont directement transposables au CPC, particulièrement à l'appel compte tenu de sa vocation essentiellement réformatoire consacrée par l'art. 318 al. 1 let. a et b CPC. L'effet cassatoire de l'appel, conçu comme une exception, permet toutefois à l'autorité d'appel de renvoyer la cause à la première instance si un élément essentiel de la demande n'a pas été jugé ou si l'état de fait doit être complété sur des points essentiels (art. 318 al. 1 let. c CPC; JEANDIN, op. cit., 2011, n. 4 ad art. 318 CPC et n. 4 ad art. 311 CPC).</w:t>
      </w:r>
    </w:p>
    <w:p>
      <w:r>
        <w:rPr>
          <w:b/>
        </w:rPr>
        <w:t>E. 2.4</w:t>
      </w:r>
    </w:p>
    <w:p>
      <w:r>
        <w:t>Que la cause soit soumise à la maxime des débats (art. 55 al. 1 CPC) ou à la maxime inquisitoire (art. 55 al. 2, art. 272 et, pour le sort des enfants, art. 296 al. 1 CPC), il incombe au recourant de motiver son appel (art. 311 al. 1 CPC), c'est-à- dire de démontrer le caractère erroné de la motivation attaquée. Pour satisfaire à cette exigence, il ne lui suffit cependant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p. 375). La motivation de l'appel constitue une condition de recevabilité, qui doit être examinée d'office. Lorsque l'appel est insuffisamment motivé, l'autorité cantonale n'entre pas en matière (arrêts du Tribunal fédéral 5A_89/2014 du 15 avril 2014 consid. 5.3.2; 5A_247/2013 du 15 octobre 2013 consid. 3.1 et les références; 4A_651/2012 du</w:t>
      </w:r>
    </w:p>
    <w:p>
      <w:r>
        <w:rPr>
          <w:b/>
        </w:rPr>
        <w:t>E. 2.5</w:t>
      </w:r>
    </w:p>
    <w:p>
      <w:r>
        <w:t>Selon l'art. 175 CC, un époux est fondé à refuser la vie commune aussi longtemps que sa personnalité, sa sécurité matérielle ou le bien de la famille sont gravement menacés.</w:t>
      </w:r>
    </w:p>
    <w:p>
      <w:r>
        <w:t>Selon la jurisprudence du Tribunal fédéral, il n'est pas arbitraire d'autoriser la constitution de domiciles séparés, lorsque l'époux concerné manifeste clairement et irrévocablement sa volonté de vivre séparément de son conjoint (HONSELL/VOGT/GEISER, Basler Kommentar, 2002, n. 3 ad art. 175 CC). En effet, selon plusieurs auteurs, à la lumière de la révision du droit du divorce, entrée en vigueur le 1er janvier 2000, l'époux qui a l'intention de cesser la vie commune en vue d'un divorce ultérieur doit se voir conférer un droit à la réglementation</w:t>
      </w:r>
    </w:p>
    <w:p>
      <w:r>
        <w:t>- 10/16 -</w:t>
      </w:r>
    </w:p>
    <w:p>
      <w:r>
        <w:t>C/21678/2014 judiciaire de la vie séparée (WEBER, Kritische Punkte der Scheidungsrechts- revision, AJP 1999 p. 1645; GABATHULER, Eheschutz und neues Scheidungsrecht, plädoyer 6/2001, p. 36; DOLDER/DIETHELM, Eheschutz [Art. 175 ss CC] - ein aktueller Überblick, AJP 2003 p. 655/656 et les références citées à la note 24). La jurisprudence zurichoise va dans le même sens, dans la mesure où elle estime que le juge des mesures protectrices doit simplement vérifier, s'agissant d'autoriser la vie séparée, si l'époux concerné manifeste une volonté de séparation irrévocable (Décision du Tribunal supérieur du canton de Zurich du 3 décembre 1999, ZR 99/2000, n. 67, p. 191 ss) (arrêt du Tribunal fédéral 5A_318/2007 du</w:t>
      </w:r>
    </w:p>
    <w:p>
      <w:r>
        <w:rPr>
          <w:b/>
        </w:rPr>
        <w:t>E. 2.6</w:t>
      </w:r>
    </w:p>
    <w:p>
      <w:r>
        <w:t>Dans le cas d'espèce, l'appelant a requis, à titre de conclusions, que la Cour lève, après un délai raisonnable, l'autorisation des époux de vivre séparés, l'attribution de la jouissance du logement conjugal et l'interdiction d'approcher de son épouse et de l'enfant C______. Par ailleurs il a sollicité que la Cour modifie le montant de la contribution à l'entretien de la famille, sans prendre de conclusions chiffrées. L'appel devrait être en conséquence déclaré irrecevable, même déposé par un justiciable agissant en personne.</w:t>
      </w:r>
    </w:p>
    <w:p>
      <w:r>
        <w:t>- 11/16 -</w:t>
      </w:r>
    </w:p>
    <w:p>
      <w:r>
        <w:t>C/21678/2014</w:t>
      </w:r>
    </w:p>
    <w:p>
      <w:r>
        <w:t>En effet, de telles conclusions ne sont pas libellées de telle manière que la Cour de céans puisse les incorporer sans modification au disposition du présent arrêt. Ces conclusions ne sont pour le surplus pas assez précises, dès lors qu'un "délai raisonnable" ne correspond pas à une notion déterminée. L'appelant n'indique d'ailleurs pas ce qu'il entend par "délai raisonnable". La Cour relèvera que, si les mesures protectrices peuvent être ordonnées de manière limitée dans le temps, une telle situation se révèle rarissime dans les faits. Par ailleurs, les mesures ordonnées pour une durée indéterminée cessent lorsque les époux reprennent la vie commune.</w:t>
      </w:r>
    </w:p>
    <w:p>
      <w:r>
        <w:t>Pour être adopté, le raisonnement relatif à l'irrecevabilité ne doit cependant pas se heurter au principe de l'interdiction du formaliste excessif (art. 29 al. 1 Cst). Comme rappelé ci-dessus, il serait excessivement formaliste de déclarer irrecevable un appel, certes dépourvu de conclusions réformatoires, mais dont le moyen principal, fondé par exemple sur une violation du droit d'être entendu ou du droit à la preuve, et par hypothèse reconnu justifiée, conduirait au renvoi de la cause au premier juge, pour complément d'instruction et nouvelle décision.</w:t>
      </w:r>
    </w:p>
    <w:p>
      <w:r>
        <w:t>Rien de tel ne résulte cependant dans la présente cause. En effet, aucun des faits relatés par l'appelant ne vise une violation de son droit d'être entendu ou de son droit à la preuve. En l'absence de tout grief relatif à l'instruction de la cause ou au fait qu'un élément essentiel de la demande n'aurait pas été jugé, un renvoi de la cause à la première instance est quoi qu'il en soit exclu.</w:t>
      </w:r>
    </w:p>
    <w:p>
      <w:r>
        <w:t>En conséquence, l'appelant aurait dû assortir son appel de conclusions réforma- toires puisque la cause aurait pu être jugée sur le fond par la Cour de céans. L'absence de telles conclusions constitue dès lors un vice conduisant la Cour de céans à constater sans formalisme excessif l'irrecevabilité de l'appel.</w:t>
      </w:r>
    </w:p>
    <w:p>
      <w:r>
        <w:t>Enfin, même en faisant preuve d'indulgence, la Cour de discerne pas, dans les écritures de l'appelant, de motivation suffisante relative aux faits qu'il a contestés. En particulier, l'appelant ne démontre pas en quoi le premier juge aurait mal apprécié les faits de la cause ou consacré une violation de la loi, s'agissant de l'autorisation des époux de vivre séparés, l'attribution du domicile conjugal et des mesures d'éloignement.</w:t>
      </w:r>
    </w:p>
    <w:p>
      <w:r>
        <w:rPr>
          <w:b/>
        </w:rPr>
        <w:t>E. 2.7</w:t>
      </w:r>
    </w:p>
    <w:p>
      <w:r>
        <w:t>Par conséquent, l'appel sera déclaré irrecevable. 3. Même si l'appel avait été recevable, il n'en aurait pas moins été rejeté.</w:t>
      </w:r>
    </w:p>
    <w:p>
      <w:r>
        <w:t>3.1 La procédure de mesures protectrices de l'union conjugale est une procédure sommaire au sens propre (art. 271 CPC; ATF 127 III 474 consid. 2b/bb; arrêts du Tribunal fédéral 5A_340/2008 consid. 3.1; 5A_344/2008 consid. 2; HOHL, op. cit., n. 1900). Cette procédure n'est donc pas destinée à trancher des questions litigieuses délicates nécessitant une instruction approfondie (SJ 1988 p. 638).</w:t>
      </w:r>
    </w:p>
    <w:p>
      <w:r>
        <w:t>- 12/16 -</w:t>
      </w:r>
    </w:p>
    <w:p>
      <w:r>
        <w:t>C/21678/2014 L'autorité saisie peut s'en tenir à la vraisemblance des faits allégués, solution qui est retenue en matière de mesures provisoires selon l'art. 137 al. 2 aCC, abrogé par le CPC mais à laquelle il est donc possible de se référer (arrêt du Tribunal fédéral 5A_124/2008 du 10 avril 2008; ATF 127 III 474 consid. 2b/b).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w:t>
      </w:r>
    </w:p>
    <w:p>
      <w:r>
        <w:t>Les mesures protectrices de l'union conjugale sont soumises à la procédure sommaire et la maxime inquisitoire est applicable en appel (art. 271 let. a et 272 CPC; GASSER/RICKLI, ZPO Kurzkommentar, 2010, n. 4 ad art. 316 CPC; HOHL, op. cit., 2010, n. 2372). Le juge peut toutefois se fonder sur un exposé commun des parties (VETTERLI, Das Eheschutzverfahren nach der schweizerischen Zivilprozessordnung, in FamPra.ch 2010 p. 785 ss, p. 790). La cognition du juge est limitée à la simple vraisemblance des faits et à un examen sommaire du droit, l'exigence de célérité étant privilégiée par rapport à celle de sécurité (HOHL, op. cit., n. 1901; HALDY, La nouvelle procédure civile suisse, 2009, p. 71; VOUILLOZ, Les procédures du droit de la famille, in Jusletter</w:t>
      </w:r>
    </w:p>
    <w:p>
      <w:r>
        <w:rPr>
          <w:b/>
        </w:rPr>
        <w:t>E. 7</w:t>
      </w:r>
    </w:p>
    <w:p>
      <w:r>
        <w:t>février 2013 consid. 4.2).</w:t>
      </w:r>
    </w:p>
    <w:p>
      <w:r>
        <w:rPr>
          <w:b/>
        </w:rPr>
        <w:t>E. 11</w:t>
      </w:r>
    </w:p>
    <w:p>
      <w:r>
        <w:t>octobre 2010, Rz 6; VETTERLI, op. cit., p. 787). Tous les moyens de preuve sont en principe admissibles (art. 254 al. 2 let. c CPC), étant précisé que ceux dont l'administration ne peut intervenir immédiatement ne doivent être ordonnés que dans des circonstances exceptionnelles (arrêt du Tribunal fédéral 5A_444/2008 du</w:t>
      </w:r>
    </w:p>
    <w:p>
      <w:r>
        <w:rPr>
          <w:b/>
        </w:rPr>
        <w:t>E. 14</w:t>
      </w:r>
    </w:p>
    <w:p>
      <w:r>
        <w:t>août 2008 consid. 2.2).</w:t>
      </w:r>
    </w:p>
    <w:p>
      <w:r>
        <w:t>3.2 En ce qui concerne le principe de la vie séparée et l'attribution du domicile conjugal, comme indiqué sous consid. 2.5 ci-dessus, un époux est fondé à refuser la vie commune, aussi longtemps que sa personnalité, sa sécurité matérielle ou le bien de la famille sont gravement menacés. A teneur de la jurisprudence, il suffit que l'époux demandeur ait manifesté une volonté de séparation irrévocable. Tel est manifestement le cas en l'espèce, l'intimée ayant clairement indiqué qu'elle entendait vivre séparée de son époux, notamment en raison des menaces qu'il aurait proférées et de la violence qu'il lui aurait fait subir.</w:t>
      </w:r>
    </w:p>
    <w:p>
      <w:r>
        <w:t>Par ailleurs, l'appelant n'avait pas, en première instance, sollicité l'attribution en sa faveur du logement familial. Au demeurant, l'attribution de celui-ci à l'intimée était justifiée, celle-ci vivant dans l'appartement avec ses deux enfants, dont l'un mineur, et ne disposant que de très faibles ressources (300 fr. par mois).</w:t>
      </w:r>
    </w:p>
    <w:p>
      <w:r>
        <w:t>3.3 L'art. 28b al. 1 CC (disposition applicable également en matière de mesures protectrices de l'union conjugale) prévoit qu'en cas de violence, de menaces ou de harcèlement, le demandeur peut requérir du juge d'interdire à l'auteur de l'atteinte, en particulier, de l'approcher ou d'accéder à un périmètre déterminé autour de son</w:t>
      </w:r>
    </w:p>
    <w:p>
      <w:r>
        <w:t>- 13/16 -</w:t>
      </w:r>
    </w:p>
    <w:p>
      <w:r>
        <w:t>C/21678/2014 logement (ch. 1) ou de prendre contact avec lui, notamment par téléphone, par écrit ou par voie électronique, ou de lui causer d'autres dérangements (ch. 3).</w:t>
      </w:r>
    </w:p>
    <w:p>
      <w:r>
        <w:t>On entend par violence l'atteinte directe à l'intégrité physique, psychique, sexuelle ou sociale d'une personne. Cette atteinte doit présenter un certain degré d'intensité, tout comportement socialement incorrect n'étant pas constitutif d'une atteinte à la personnalité. Une telle interdiction présuppose qu'une atteinte illicite à la personnalité risque de se produire, à savoir une menace sérieuse qui fasse craindre la victime pour son intégrité physique, psychique, sexuelle ou sociale (Message relatif à la Protection contre la violence dans la famille, et dans le couple, FF 2005 p. 6347 ss, p. 6450).</w:t>
      </w:r>
    </w:p>
    <w:p>
      <w:r>
        <w:t>Le principe de la proportionnalité impose de prendre la mesure qui est suffisamment efficace pour la victime et la moins incisive pour l'auteur de l'atteinte (arrêt du Tribunal fédéral 5A_337/2009 consid. 5.3.2, SJ 2010 I 315).</w:t>
      </w:r>
    </w:p>
    <w:p>
      <w:r>
        <w:t>3.4 Dans le présent cas, et comme l'a retenu à bon droit le premier juge, l'appelant, malgré une hospitalisation non volontaire et un traitement médicamenteux, persiste à croire que son époux et la fille de celle-ci se livreraient à un trafic de drogue. Dans ses écritures d'appel, l'appelant continue de nourrir de telles convictions. Il soutient par ailleurs que les divers intervenants, soit notamment la police et les médecins des HUG seraient de connivence et se plaint de la corruption présente au sein des services de police.</w:t>
      </w:r>
    </w:p>
    <w:p>
      <w:r>
        <w:t>La Cour relève également que l'appelant ne conteste pas avoir empêché son épouse de sortir du logement, tout en minimisant son comportement à cet égard, et avoir retiré des mains d'C______ une boîte d'élastique, pensant qu'elle contenait de la drogue, alors que cette dernière a indiqué avoir été prise au cou par l'appelant.</w:t>
      </w:r>
    </w:p>
    <w:p>
      <w:r>
        <w:t>Ainsi, et compte tenu du comportement de l'appelant, les mesures d'éloignement prononcées par le Tribunal sont justifiées.</w:t>
      </w:r>
    </w:p>
    <w:p>
      <w:r>
        <w:t>3.5 Même lorsqu'on ne peut plus sérieusement compter sur la reprise de la vie commune, ce que le juge du fait doit constater, l'art. 163 CC demeure la cause de l'obligation d'entretien réciproque des époux sur mesures provisionnelles prononcées pour la durée de la procédure de divorce (ATF 137 III 385 consid. 3.1; 130 III 537 consid 3.2). Dès lors, lorsqu'il prononce les mesures provisionnelles, le juge fixe une contribution pour l'entretien des membres de la famille, en prenant en compte les besoins des enfants et du parent crédirentier (arrêt du Tribunal fédéral 5P.253/2006 du 8 janvier 2007 consid. 3.4; CHAIX, Commentaire Romand, Code civil I, n. 6 ad art. 176 CC). La loi ne prescrit pas de méthode de calcul particulière pour arrêter la contribution d'entretien (arrêt du Tribunal fédéral 5A_178/2008 du 23 avril 2008 consid. 3.2.;</w:t>
      </w:r>
    </w:p>
    <w:p>
      <w:r>
        <w:t>- 14/16 -</w:t>
      </w:r>
    </w:p>
    <w:p>
      <w:r>
        <w:t>C/21678/2014 ATF 128 III 411 consid. 3.2.2 p. 414); sa fixation relève de l'appréciation du juge, qui applique les règles du droit et de l'équité (art. 4 CC; ATF 127 III 136 consid. 3a p. 141).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135 III 66 consid. 10), de sorte qu'un éventuel déficit doit être supporté uniquement par le crédirentier (ATF 135 III 66).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art.176). A ce montant s'ajoutent les frais de logement, les cotisations de caisse maladie, les frais professionnels tels que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126 III 353 = JdT 2002 I 62; 127 III 68 consid. 2b = JdT 2001 I 562; 127 III 289 consid 2a/bb = JdT 2002 I 236). Il n'est tenu compte des charges fiscales que lorsque la situation économique des parties le permet (ATF 126 III 89; OCHSNER, CRLP 2005, n. 149 ss ad art. 193 LP). En matière de mesures protectrices de l'union conjugale, comme pour les mesures provisoires de l'art. 137 al. 2 aCC, le moment déterminant dès lequel la contribution d'entretien doit être versée se situe en règle générale au jour du dépôt de la requête (BÜHLER/SPÜHLER, Commentaire bernois, n. 124 ad art. 145 aCC; cf. arrêt du Tribunal fédéral 5P.442/2006 du 8 août 2007 consid. 3.2, concernant le prononcé de mesures provisoires). La contribution d'entretien peut toutefois être demandée à compter du jour de la séparation effective des conjoints, mais au maximum pour l'année précédant l'introduction de la requête, sous imputation des avances d'entretien éventuellement effectuées par le débirentier pendant cette</w:t>
      </w:r>
    </w:p>
    <w:p>
      <w:r>
        <w:t>- 15/16 -</w:t>
      </w:r>
    </w:p>
    <w:p>
      <w:r>
        <w:t>C/21678/2014 période (cf. art. 173 al. 3 CC; HAUSHEER/REUSSER/GEISER, op. cit., n. 23ss ad art. 173 et n. 28 ad art. 176 CC). 3.6 L'appelant ne conteste pas en tant que tel le revenu retenu par le premier juge, de 4'700 fr. par mois. L'appelant se contente sur ce point d'indiquer qu'il travaille sur mandat et que sa situation peut devenir précaire, sans pièces à l'appui. Le Tribunal a arrêté ses charges à 2'656 fr., soit un loyer estimé de 1'200 fr., la prime d'assurance maladie de base de 245 fr. et le montant de base OP de 1'200 fr. Il ne se justifie pas de prendre en considération le montant de 200 fr. par mois à titre de frais de repas, l'appelant n'ayant pas rendu vraisemblable qu'il ne pouvait pas rentrer chez lui pour manger lors de la pause de midi. Ses horaires sont d'ailleurs variables et ne dépassent pas 7h30 d'activité journalière. Les frais d'entretien du logement familial ne sont pas rendus vraisemblables et devraient, le cas échéant, faire partie des charges de l'intimée. Les frais de formation d'C______ ne sont également pas justifiés par pièce. Les frais d'électricité du logement font partie du montant de base du droit des poursuites. Enfin, les frais de copropriété de 1'253 fr. font partie des charges que supporte l'intimée. Ainsi, les charges mensuelles de l'appelant sont de 2'656 fr. de sorte que son solde disponible, de 2'044 fr., lui permet de verser la contribution à l'entretien de la famille, de 2'050 fr. 4. Les frais judiciaires d'appel seront arrêtés à 1'500 fr., compte tenu de la nature de la procédure (art. 28, 31 et 37 RTFMC - E 1 05.10), entièrement couverts par l'avance de frais du même montant versée par l'appelant, acquise à l'Etat (art. 111 al. 1 CPC). Vu l'issue du litige, ils seront mis à la charge de l'appelant, qui succombe intégralement. Pour le surplus, chaque époux conservera à sa charge ses propres dépens (art. 107 al. 1 let. c CPC). 5. 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 * * * * *</w:t>
      </w:r>
    </w:p>
    <w:p>
      <w:r>
        <w:t>- 16/16 -</w:t>
      </w:r>
    </w:p>
    <w:p>
      <w:r>
        <w:t>C/21678/2014 PAR CES MOTIFS, La Chambre civile : A la forme : Déclare irrecevable l'appel interjeté le 23 février 2015 par A______ contre le jugement JTPI/1524/2015 rendu le 30 janvier 2015 par le Tribunal de première instance dans la cause C/21678/2014-17. Arrête les frais judiciaires à 1'500 fr., entièrement compensés par l'avance de frais du même montant fournie par A______, acquise à l'Etat. Les met à la charge de A______. Dit qu'il n'est pas alloué de dépens. Siégeant : Madame Valérie LAEMMEL-JUILLARD, présidente; Madame Nathalie LANDRY-BARTHE et Monsieur Patrick CHENAUX, juges; Madame Audrey MARASCO, greffière.</w:t>
      </w:r>
    </w:p>
    <w:p>
      <w:r>
        <w:t>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