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ACJC/1254/2014 vom 23. Mai 2014</w:t>
      </w:r>
    </w:p>
    <w:p>
      <w:r>
        <w:t>GE Cour de justice, 2014-05-23, FR</w:t>
      </w:r>
    </w:p>
    <w:p>
      <w:r>
        <w:rPr>
          <w:b/>
        </w:rPr>
        <w:t xml:space="preserve">Quelle: </w:t>
      </w:r>
      <w:r>
        <w:t>https://mcp.opencaselaw.ch/entscheid/ge_gerichte_ACJC_1254_2014</w:t>
      </w:r>
    </w:p>
    <w:p>
      <w:r>
        <w:t>FR: GE_GERICHTE ACJC/1254/2014 du 23 mai 2014</w:t>
      </w:r>
    </w:p>
    <w:p>
      <w:r>
        <w:t>IT: GE_GERICHTE ACJC/1254/2014 del 23 maggio 2014</w:t>
      </w:r>
    </w:p>
    <w:p>
      <w:pPr>
        <w:pStyle w:val="Heading2"/>
      </w:pPr>
      <w:r>
        <w:t>Erwägungen</w:t>
      </w:r>
    </w:p>
    <w:p>
      <w:r>
        <w:rPr>
          <w:b/>
        </w:rPr>
        <w:t>E. 1</w:t>
      </w:r>
    </w:p>
    <w:p>
      <w:r>
        <w:t>En matière de mainlevée d'opposition, seule la voie du recours est ouverte (art. 309 lit. b ch. 3 et 319 lit. a CPC). En l'espèce, le recours, écrit et motivé (art. 130, 131, 321 al. 1 CPC), a été adressé à la Cour de justice dans un délai de dix jours dès la notification de la décision entreprise (art. 142 al. 1 et 3, 251 let. a, 321 al. 2 CPC). Le recourant, qui plaide en personne, requiert la confirmation de l'annulation du contrat et l'annulation des factures de D______. La Cour comprend dès lors qu'il entend obtenir l'annulation de la décision attaquée, cela fait le rejet de la requête de mainlevée provisoire soumise au Tribunal par l'intimée. Ainsi compris, le recours est recevable.</w:t>
      </w:r>
    </w:p>
    <w:p>
      <w:r>
        <w:rPr>
          <w:b/>
        </w:rPr>
        <w:t>E. 2</w:t>
      </w:r>
    </w:p>
    <w:p>
      <w:r>
        <w:t>Le recourant reproche au Tribunal de ne pas avoir retenu qu'il avait fait le nécessaire auprès de D______ en l'avertissant de la résiliation du contrat, lequel avait été remplacé par une nouvelle relation contractuelle liant le repreneur de l'établissement public, pour la même période de parution, de sorte qu'en dépit des conditions générales qu'il avait signées, il n'était pas "raisonnable" d'exiger le paiement du montant en poursuite.</w:t>
      </w:r>
    </w:p>
    <w:p>
      <w:r>
        <w:t>- 5/7 -</w:t>
      </w:r>
    </w:p>
    <w:p>
      <w:r>
        <w:t>C/1321/2014</w:t>
      </w:r>
    </w:p>
    <w:p>
      <w:r>
        <w:rPr>
          <w:b/>
        </w:rPr>
        <w:t>E. 2.1</w:t>
      </w:r>
    </w:p>
    <w:p>
      <w:r>
        <w:t>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136 III 624 consid. 4.2.2 p. 626, 627 consid. 2 p. 629 et la jurisprudence citée).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p. 629; 132 III 480 consid. 4.1 p. 480/481 et les références citées). Une référence ne peut cependant être concrète que si le contenu des documents auxquels il est renvoyé est connu du déclarant et visé par la manifestation de volonté signée (ATF 139 III 297 consid. 2.3.1; ATF 136 III 627 consid. 3.3 p. 632; 132 III 480 consid. 4.3 p. 482; cf. aussi: ATF 106 III 97 consid. 4 p. 99/100; ATF).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w:t>
      </w:r>
    </w:p>
    <w:p>
      <w:r>
        <w:rPr>
          <w:b/>
        </w:rPr>
        <w:t>E. 2.2</w:t>
      </w:r>
    </w:p>
    <w:p>
      <w:r>
        <w:t>En l'espèce, le recourant a signé, le 25 novembre 2010, au-dessus de la mention de son nom (à l'exclusion de toute autre adjonction) un contrat liant "Ass. C______, A______" à D______.</w:t>
      </w:r>
    </w:p>
    <w:p>
      <w:r>
        <w:t>- 6/7 -</w:t>
      </w:r>
    </w:p>
    <w:p>
      <w:r>
        <w:t>C/1321/2014</w:t>
      </w:r>
    </w:p>
    <w:p>
      <w:r>
        <w:t>Il convient d'en inférer qu'il s'est, ce faisant, engagé en son nom propre, soit seul, soit aux côtés de l'association précitée, dont on ignore si elle est dotée de la personnalité juridique.</w:t>
      </w:r>
    </w:p>
    <w:p>
      <w:r>
        <w:t>Quant à D______, il n'est pas contesté qu'elle a valablement cédé sa créance à l'intimée.</w:t>
      </w:r>
    </w:p>
    <w:p>
      <w:r>
        <w:t>Les conditions d'identités des créancier et débiteur sont ainsi réalisées.</w:t>
      </w:r>
    </w:p>
    <w:p>
      <w:r>
        <w:t>Il est par ailleurs établi que les conditions générales stipulent que le contrat est conclu pour trois éditions de l'annuaire, d'un montant de 490 fr., chacune, hors TVA, et que, à sa libre appréciation, D______ peut réduire sa créance à 40% de la valeur résiduelle, en cas de résiliation anticipée.</w:t>
      </w:r>
    </w:p>
    <w:p>
      <w:r>
        <w:t>Sur cette base, D______ a réduit ses prétentions au 40% du montant dû pour les 2ème et 3ème éditions (980 fr.), soit 392 fr., objets de sa facture n° 3______, laquelle est venue s'ajouter à la facture n° 2______, relative à la première édition dont il n'est pas contesté qu'elle a comporté l'annonce requise, et dont le recourant n'explique pas pourquoi elle est demeurée impayée.</w:t>
      </w:r>
    </w:p>
    <w:p>
      <w:r>
        <w:t>Il est pour le surplus constant que le contrat précité constitue une reconnaissance de dette au sens de l'art. 82 LP.</w:t>
      </w:r>
    </w:p>
    <w:p>
      <w:r>
        <w:t>Dans la poursuite n° 1______, l'intimée a fait valoir, sous poste 1 la créance précitée de 392 fr., ainsi que celle en 529 fr. 20, objet de la facture n° 2______, pour un total de 921 fr. 20. Elle n'a toutefois indiqué comme cause de l'obligation dans le commandement de payer que la facture précitée, à l'exclusion de toute autre.</w:t>
      </w:r>
    </w:p>
    <w:p>
      <w:r>
        <w:t>Par conséquent, le recourant poursuivi ne s'est pas trouvé en mesure de comprendre la quotité de la créance qui lui était réclamée, la référence à la facture n° 2______ limitant sa dette à 529 fr. 20.</w:t>
      </w:r>
    </w:p>
    <w:p>
      <w:r>
        <w:t>Le recours est ainsi partiellement fondé, en ce sens que la mainlevée provisoire ne devait être accordée qu'à concurrence du montant énoncé dans la facture visée dans le commandement de payer, soit 529 fr. 20, avec suite d'intérêts moratoires à compter de la date, postérieure à son échéance, mentionnée dans la requête de l'intimée, soit le 30 mars 2012.</w:t>
      </w:r>
    </w:p>
    <w:p>
      <w:r>
        <w:rPr>
          <w:b/>
        </w:rPr>
        <w:t>E. 3</w:t>
      </w:r>
    </w:p>
    <w:p>
      <w:r>
        <w:t>Le recourant obtient ainsi partiellement gain de cause, de sorte qu'il supportera la moitié des frais de première et de seconde instance (art. 106 al. 1 CPC), arrêtés respectivement à 150 fr. et à 225 fr. (art. 48, 61 OELP), couverts par les avances déjà opérées (150 fr. par B______ et 225 fr. par A______), acquises à l'Etat (art. 111 al. 1 CPC), le solde étant à la charge de l'intimée.</w:t>
      </w:r>
    </w:p>
    <w:p>
      <w:r>
        <w:t>Le jugement attaqué sera modifié dans le sens de ce qui précède.</w:t>
      </w:r>
    </w:p>
    <w:p>
      <w:r>
        <w:t>- 7/7 -</w:t>
      </w:r>
    </w:p>
    <w:p>
      <w:r>
        <w:t>C/1321/2014 PAR CES MOTIFS, La Chambre civile : A la forme : Déclare recevable le recours formé le 14 juin 2014 par A______ contre le jugement JTPI/6619/2014 rendu le 23 mai 2014 par le Tribunal de première instance dans la cause C/1321/2014-2 SML. Au fond : Annule ce jugement et statuant à nouveau : Prononce la mainlevée provisoire de l'opposition formée par A______ au commandement de payer poursuite n° 1______ à concurrence de 529 fr. 20 avec intérêts moratoires à 5% l'an dès le 30 mars 2012. Déboute les parties de toutes autres conclusions. Sur les frais des deux instances : Arrête les frais des deux instances à 275 fr., couverts par les avances déjà opérées, acquises à l'Etat de Genève. Le met à la charge de chacune des parties par moitié. Condamne B______ à rembourser en conséquence 37 fr. 50 à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