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ACJC/1252/2018 vom 18. September 2018</w:t>
      </w:r>
    </w:p>
    <w:p>
      <w:r>
        <w:t>GE Cour de justice, 2018-09-18, FR</w:t>
      </w:r>
    </w:p>
    <w:p>
      <w:r>
        <w:rPr>
          <w:b/>
        </w:rPr>
        <w:t xml:space="preserve">Quelle: </w:t>
      </w:r>
      <w:r>
        <w:t>https://mcp.opencaselaw.ch/entscheid/ge_gerichte_ACJC_1252_2018</w:t>
      </w:r>
    </w:p>
    <w:p>
      <w:r>
        <w:t>FR: GE_GERICHTE ACJC/1252/2018 du 18 septembre 2018</w:t>
      </w:r>
    </w:p>
    <w:p>
      <w:r>
        <w:t>IT: GE_GERICHTE ACJC/1252/2018 del 18 settembre 2018</w:t>
      </w:r>
    </w:p>
    <w:p>
      <w:pPr>
        <w:pStyle w:val="Heading2"/>
      </w:pPr>
      <w:r>
        <w:t>Erwägungen</w:t>
      </w:r>
    </w:p>
    <w:p>
      <w:r>
        <w:rPr>
          <w:b/>
        </w:rPr>
        <w:t>E. 1.1</w:t>
      </w:r>
    </w:p>
    <w:p>
      <w:r>
        <w:t>L'appel est dirigé contre une décision finale de première instance rendue dans le cadre d'un litige portant sur une valeur de plus de 10'000 fr. au dernier état des conclusions de première instance (art. 308 al. 1 let. a et al. 2 CPC; ACJC/748/2018 du 12 juin 2018 consid. 1.1). Dans les litiges concernant le retour à meilleure fortune d'un débiteur, la valeur litigieuse correspond au montant de la créance en poursuite (arrêt du Tribunal fédéral 5A_21/2010 du 19 avril 2010 consid. 1.2).</w:t>
      </w:r>
    </w:p>
    <w:p>
      <w:r>
        <w:t>Déposé dans le délai de 30 jours à compter de la notification de la décision motivée et dans la forme prescrite (art. 311 al. 1 CPC), l'appel est recevable.</w:t>
      </w:r>
    </w:p>
    <w:p>
      <w:r>
        <w:rPr>
          <w:b/>
        </w:rPr>
        <w:t>E. 1.2</w:t>
      </w:r>
    </w:p>
    <w:p>
      <w:r>
        <w:t>L'instance d'appel revoit la cause en fait et en droit avec un plein pouvoir d'examen (art. 310 CPC).</w:t>
      </w:r>
    </w:p>
    <w:p>
      <w:r>
        <w:t>Les maximes des débats et de disposition s'appliquent (art. 55 al. 1 et 58 al. 1 CPC).</w:t>
      </w:r>
    </w:p>
    <w:p>
      <w:r>
        <w:rPr>
          <w:b/>
        </w:rPr>
        <w:t>E. 2</w:t>
      </w:r>
    </w:p>
    <w:p>
      <w:r>
        <w:t>L'appelant reproche au Tribunal d'avoir retenu qu'il était revenu à meilleure fortune, et d'avoir en particulier déterminé ses revenus en tenant compte de l'indemnité perçue de son employeur en remboursement de ses frais, des revenus tirés de la fortune mobilière de son épouse ainsi que d'un bien immobilier dont il expose n'être qu'usufruitier.</w:t>
      </w:r>
    </w:p>
    <w:p>
      <w:r>
        <w:t>2.1.1 Le créancier qui se fonde sur un acte de défaut de biens ne peut requérir une nouvelle poursuite que si le débiteur revient à meilleure fortune (art. 265 al. 2 LP).</w:t>
      </w:r>
    </w:p>
    <w:p>
      <w:r>
        <w:t>Si le débiteur fait opposition en contestant son retour à meilleure fortune, l'office soumet l'opposition au juge du for de la poursuite (art. 265a al. 1 LP).</w:t>
      </w:r>
    </w:p>
    <w:p>
      <w:r>
        <w:t>Le juge déclare l'opposition recevable si le débiteur expose l'état de ses revenus et de sa fortune et s'il rend vraisemblable qu'il n'est pas revenu à meilleure fortune (art. 265a al. 2 LP). Si le juge déclare l'opposition irrecevable, il détermine dans quelle mesure le débiteur est revenu à meilleure fortune (art. 265a al. 3 LP). Le débiteur et le créancier peuvent intenter une action en constatation du non- retour ou du retour à meilleure fortune devant le juge du for de la poursuite dans les 20 jours à compter de la notification de la décision sur opposition (art. 265a al. 4 LP).</w:t>
      </w:r>
    </w:p>
    <w:p>
      <w:r>
        <w:t>L'art. 265 al. 2 LP vise à permettre au débiteur de se relever de sa faillite et de se construire une nouvelle existence, à savoir de se rétablir sur le plan économique et social, sans être constamment soumis aux poursuites des créanciers perdants de la faillite. Le débiteur doit ainsi avoir acquis de nouveaux actifs auxquels ne correspondent pas de nouveaux passifs, c'est-à-dire de nouveaux actifs nets.</w:t>
      </w:r>
    </w:p>
    <w:p>
      <w:r>
        <w:t>- 6/10 -</w:t>
      </w:r>
    </w:p>
    <w:p>
      <w:r>
        <w:t>C/18305/2015 Le revenu du travail peut également constituer un nouvel actif net, partant entraîner un retour à meilleure fortune, lorsqu'il dépasse le montant nécessaire au débiteur pour mener une vie conforme à sa condition et qu'il lui permet de réaliser des économies. Il ne suffit donc pas que le débiteur dispose de ressources supérieures au minimum vital de l'art. 93 LP, encore faut-il qu'il puisse adopter un train de vie correspondant à sa situation et, en plus, épargner. Inversement, il sied d'éviter que le débiteur ne dilapide ses revenus au détriment de ses anciens créanciers sous le couvert de l'exception du non-retour à meilleure fortune (ATF 129 III 385 consid. 5.1.1).</w:t>
      </w:r>
    </w:p>
    <w:p>
      <w:r>
        <w:t>Savoir quels sont les éléments à prendre en compte à ce propos, en particulier quel est le montant concrètement nécessaire au débiteur pour mener un train de vie conforme à sa situation, relève du pouvoir d'appréciation du juge (ATF 129 III 385 consid. 5.1.1; 109 III 93 consid. 1b; 99 Ia 19 consid. 3b).</w:t>
      </w:r>
    </w:p>
    <w:p>
      <w:r>
        <w:t>La doctrine et les jurisprudences cantonales s'accordent pour dire que la somme en cause doit couvrir notamment les postes du minimum vital (élargi) de l'art. 93 LP (soit un montant de base auquel s'ajoutent les dépenses indispensables telles que le loyer, le chauffage, les primes d'assurance-maladie, etc.), à élargir des dépenses incompressibles telles que les impôts, puis à augmenter de certains frais usuels tels que ceux entraînés par un véhicule, la radio, la télévision, le téléphone, voire un ordinateur, ainsi que certaines assurances privées. A cela doit enfin s'additionner un certain supplément - soit le montant de base selon les normes OP majoré de 50% à 100% suivant les pratiques cantonales -, dès lors que le montant de base de l'art. 93 LP, destiné à couvrir l'alimentation, l'habillement, les soins corporels, les frais culturels etc., ne représente par définition qu'un minimum vital, partant une somme insuffisante pour satisfaire les besoins d'un débiteur en droit de mener un train de vie conforme à sa situation (ATF 129 III 385 consid. 5.1.2 et 5.1.3). Lorsque les dépenses ont été largement calculées pour tenir compte du train de vie du débiteur, il est excessif de majorer de 100% le montant de base du minimum vital (ATF 135 III 424 consid 2.3). 2.1.2 Lorsque le débiteur opposant est marié, le seuil du retour à meilleure fortune se détermine selon les règles pour déterminer le minimum vital d'un débiteur marié. Pour calculer la part relativement saisissable du revenu du conjoint poursuivi, il convient tout d'abord de déterminer le revenu net des deux conjoints et leur minimum vital commun, puis de répartir ce minimum vital commun entre les deux conjoints proportionnellement à leurs revenus nets et enfin d'obtenir la part saisissable du revenu du conjoint poursuivi en déduisant de son revenu net déterminant sa part au minimum vital (ATF 114 III 12, consid. 3 et 4.; arrêt du Tribunal fédéral 9C_300/2013 du 14 novembre 2013 consid. 2.2).</w:t>
      </w:r>
    </w:p>
    <w:p>
      <w:r>
        <w:t>- 7/10 -</w:t>
      </w:r>
    </w:p>
    <w:p>
      <w:r>
        <w:t>C/18305/2015 2.1.3 Le retour à meilleure fortune s'apprécie à la date de l'introduction de la poursuite (ATF 129 III 385 consid. 5.1.4; MUSTER, Le retour à meilleure fortune : un état des lieux, in BlSchK 2013 p. 9; GILLIERON, Poursuite pour dettes, faillite et concordat, 2012, n. 2107). Le but des contrôles judiciaires institués à l'art. 265a LP est de vérifier le bien-fondé d'une opposition formée à un acte de poursuite à un moment précis; il serait contraire à cet objectif que le poursuivant puisse utiliser les voies de droit prévues pour que ce contrôle porte en définitive sur la situation financière du débiteur plusieurs années après le dépôt de la poursuite (MUSTER, op.cit., p. 9). La période déterminante pour le calcul du retour à meilleure fortune est la période de douze mois précédant le dépôt de la réquisition de poursuite (ATF 99 Ia 21 consid. 3c in JdT 1975 II 51; MUSTER, op. cit., p. 6). 2.1.4 Dans les procédures fondées sur les art. 265 et 265a LP, le créancier poursuivant supporte le fardeau de la preuve du retour à meilleure fortune. Il incombe en revanche au débiteur d'établir sa situation de fortune, de revenu et/ou de charges. Chaque partie assume la charge de l'allégation et de l'administration des preuves (GILLIERON, Commentaire de la LP, 2001, n. 30 ad art. 265a LP).</w:t>
      </w:r>
    </w:p>
    <w:p>
      <w:r>
        <w:rPr>
          <w:b/>
        </w:rPr>
        <w:t>E. 2.2</w:t>
      </w:r>
    </w:p>
    <w:p>
      <w:r>
        <w:t>L'appelant reproche au Tribunal d'avoir déterminé ses revenus en tenant compte de l'indemnité que lui verse son employeur en remboursement de ses frais.</w:t>
      </w:r>
    </w:p>
    <w:p>
      <w:r>
        <w:rPr>
          <w:b/>
        </w:rPr>
        <w:t>E. 2.2.1</w:t>
      </w:r>
    </w:p>
    <w:p>
      <w:r>
        <w:t>L'indemnité versée par l'employeur au titre de remboursement de frais forfaitaires est ajoutée au revenu lorsqu'il n'est pas rendu vraisemblable qu'elle correspond à des frais effectifs (arrêt du Tribunal fédéral 5A_865/2015 du 26 avril 2016 consid. 4.2.2). Le revenu déterminant du poursuivi peut inclure les frais de déplacement et de représentation lorsque ces montants comprennent notamment les frais de repas ou d'habillement et sont donc en relation avec les postes de l'entretien de base (arrêt du Tribunal fédéral 5A_622/2008 du 11 juin 2009 consid. 2.3; MUSTER, op. cit., p. 6).</w:t>
      </w:r>
    </w:p>
    <w:p>
      <w:r>
        <w:rPr>
          <w:b/>
        </w:rPr>
        <w:t>E. 2.2.2</w:t>
      </w:r>
    </w:p>
    <w:p>
      <w:r>
        <w:t>En l'espèce, le Tribunal s'est, à juste titre, fondé sur les extraits bancaires de l'appelant pour retenir que les revenus nets que percevait le débiteur opposant dans le cadre de son activité pour le compte de G______ SA s'élevaient à 7'200 fr. par mois. Entendus par le Tribunal, l'appelant et l'administrateur de la société ont certes indiqué que cette somme comprenait une indemnité forfaitaire de 800 fr. au titre de remboursement des frais. Cette indemnité constitue toutefois un revenu du travail, compte tenu de son caractère forfaitaire, le Tribunal ayant pour le surplus tenu compte des dépenses effectives, notamment de déplacement, dans les charges de l'appelant. Ce grief n'est donc pas fondé.</w:t>
      </w:r>
    </w:p>
    <w:p>
      <w:r>
        <w:t>- 8/10 -</w:t>
      </w:r>
    </w:p>
    <w:p>
      <w:r>
        <w:t>C/18305/2015</w:t>
      </w:r>
    </w:p>
    <w:p>
      <w:r>
        <w:rPr>
          <w:b/>
        </w:rPr>
        <w:t>E. 2.3</w:t>
      </w:r>
    </w:p>
    <w:p>
      <w:r>
        <w:t>C'est en revanche à juste titre que l'appelant reproche au Tribunal d'avoir tenu compte, dans la détermination de ses revenus, de la moitié des gains sur la fortune mobilière appartenant à son épouse. Le produit de cette fortune mobilière est en effet à prendre en compte dans son intégralité dans les revenus de l'épouse, ce qui n'a toutefois pas d'incidence sur l'issue du litige, le calcul s'établissant comme suit : En tenant compte des revenus de l'appelant de 7'200 fr. et de ceux de son épouse de 4'076 fr. (3'786 fr. + 290 fr.), leurs dépenses courantes de 9'238 fr., à repartir entre les conjoints proportionnellement à leurs revenus respectifs, sont à la charge de l'appelant à concurrence de 64 % [7'200 fr. / (7'200 fr. + 4'076 fr.)]. Le seuil du retour à meilleure fortune du débiteur opposant se situe ainsi à 5'913 fr. (9'238 fr. x 64%), de sorte qu'il est revenu à meilleure fortune à concurrence de 1'287 fr. par mois (7'200 fr. – 5'913 fr). La Cour étant liée par les conclusions des parties et l'intimée n'ayant pas appelé du jugement du Tribunal, qui a retenu que le débiteur opposant était revenu à meilleure fortune à raison de 1'248 fr. par mois, il y a lieu de confirmer la décision entreprise sur ce point.</w:t>
      </w:r>
    </w:p>
    <w:p>
      <w:r>
        <w:rPr>
          <w:b/>
        </w:rPr>
        <w:t>E. 2.4</w:t>
      </w:r>
    </w:p>
    <w:p>
      <w:r>
        <w:t>L'appelant fait par ailleurs grief au Tribunal d'avoir retenu qu'il était copropriétaire du bien immobilier situé à E______ (VS) et d'avoir réservé les revenus qu'il pourrait en retirer. L'extrait du Registre foncier produit par l'appelant fait ressortir que ce bien n'appartient pas à celui-ci, contrairement à ce qu'a retenu le premier juge, puisqu'il est la propriété de ses deux enfants majeurs. Il n'en demeure pas moins qu'il allègue bénéficier de l'usufruit grevant ce bien, et qu'en cette qualité, il dispose du droit d'en percevoir les fruits et les produits (art. 745, 756 et 757 CC) lesquels son saisissables (OCHSNER, CR LP, 2005, n. 41 et ss ad art. 93). Cela étant, il ne ressort pas de la procédure que l'appelant aurait perçu de tels revenus durant l'année précédant le dépôt de la réquisition de poursuite, déterminante pour évaluer le retour à meilleure fortune du débiteur opposant. D'éventuels gains que ce dernier serait susceptible de retirer de ce bien à l'avenir n'étant, de même, pas à prendre en considération pour apprécier dans quelle mesure le débiteur est revenu à meilleure fortune lorsque la poursuite a été engagée, la réserve formulée à cet égard dans le dispositif du jugement querellé ne se justifie pas. Le chiffre 3 du dispositif du jugement entrepris sera modifié en conséquence.</w:t>
      </w:r>
    </w:p>
    <w:p>
      <w:r>
        <w:rPr>
          <w:b/>
        </w:rPr>
        <w:t>E. 3</w:t>
      </w:r>
    </w:p>
    <w:p>
      <w:r>
        <w:t>L'appelant, qui succombe pour l'essentiel, sera condamné aux frais d'appel (art. 95 al. 1 let. a et 106 al. 1 CPC).</w:t>
      </w:r>
    </w:p>
    <w:p>
      <w:r>
        <w:t>- 9/10 -</w:t>
      </w:r>
    </w:p>
    <w:p>
      <w:r>
        <w:t>C/18305/2015</w:t>
      </w:r>
    </w:p>
    <w:p>
      <w:r>
        <w:t>Ces frais seront fixés à 1'000 fr. (art. 19 LaCC; art. 17 et 35 RTFMC) et compensés avec l'avance du même montant effectuée par l'appelant, acquise à l'Etat de Genève.</w:t>
      </w:r>
    </w:p>
    <w:p>
      <w:r>
        <w:t>L'appelant sera condamné à verser à l'intimée la somme de 2'000 fr. à titre de dépens (art. 95 al. 1 let. b et 106 al. 1 CPC; art. 20 et 23 al. 1 LaCC). * * * * * *</w:t>
      </w:r>
    </w:p>
    <w:p>
      <w:r>
        <w:t>- 10/10 -</w:t>
      </w:r>
    </w:p>
    <w:p>
      <w:r>
        <w:t>C/18305/2015 PAR CES MOTIFS, La Chambre civile : A la forme : Déclare recevable l'appel interjeté par A______ contre le jugement JTPI/2241/2018 rendu le 7 février 2018 par le Tribunal de première instance dans la cause C/18305/2015-8. Au fond : Modifie le chiffre 3 du dispositif du jugement querellé, en ce sens qu'il est dit que A______ est revenu à meilleure fortune à hauteur de 1’248 fr. par mois. Confirme le jugement pour le surplus. Déboute les parties de toutes autres conclusions. Sur les frais : Arrête les frais judiciaires d'appel à 1'000 fr., les met à la charge de A______, qui succombe, et les compense avec l'avance versée, qui reste acquise à l'Etat de Genève. Condamne A______ à verser à B______ SA 2'000 fr. à titre de dépens. Siégeant : Madame Ursula ZEHETBAUER GHAVAMI, présidente; Madame Sylvie DROIN, Monsieur Ivo BUETTI, juges; Madame Camille LESTEVEN, greffière.</w:t>
      </w:r>
    </w:p>
    <w:p>
      <w:r>
        <w:t>La présidente : Ursula ZEHETBAUER GHAVAMI</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