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ACJC/1252/2014 vom 11. Juli 2014</w:t>
      </w:r>
    </w:p>
    <w:p>
      <w:r>
        <w:t>GE Cour de justice, 2014-07-11, FR</w:t>
      </w:r>
    </w:p>
    <w:p>
      <w:r>
        <w:rPr>
          <w:b/>
        </w:rPr>
        <w:t xml:space="preserve">Quelle: </w:t>
      </w:r>
      <w:r>
        <w:t>https://mcp.opencaselaw.ch/entscheid/ge_gerichte_ACJC_1252_2014</w:t>
      </w:r>
    </w:p>
    <w:p>
      <w:r>
        <w:t>FR: GE_GERICHTE ACJC/1252/2014 du 11 juillet 2014</w:t>
      </w:r>
    </w:p>
    <w:p>
      <w:r>
        <w:t>IT: GE_GERICHTE ACJC/1252/2014 del 11 luglio 2014</w:t>
      </w:r>
    </w:p>
    <w:p>
      <w:pPr>
        <w:pStyle w:val="Heading2"/>
      </w:pPr>
      <w:r>
        <w:t>Erwägungen</w:t>
      </w:r>
    </w:p>
    <w:p>
      <w:r>
        <w:rPr>
          <w:b/>
        </w:rPr>
        <w:t>E. 1</w:t>
      </w:r>
    </w:p>
    <w:p>
      <w:r>
        <w:t>En matière de mainlevée d'opposition, seule la voie du recours est ouverte (art. 309 lit. b ch. 3 et 319 lit. a CPC). En l'espèce, le recours, écrit et motivé (art. 130, 131, 321 al. 1 CPC), a été adressé à la Cour de justice dans un délai de dix jours dès la notification de la décision entreprise (art. 142 al. 1 et 3, 251 let. a, 321 al. 2 CPC). Il est ainsi recevable. En revanche, la pièce nouvelle produite par l'intimé ne l'est pas (art. 326 al. 1 CPC).</w:t>
      </w:r>
    </w:p>
    <w:p>
      <w:r>
        <w:rPr>
          <w:b/>
        </w:rPr>
        <w:t>E. 2</w:t>
      </w:r>
    </w:p>
    <w:p>
      <w:r>
        <w:t>La recourante fait grief au premier juge de ne pas avoir retenu que l'intimé était son débiteur.</w:t>
      </w:r>
    </w:p>
    <w:p>
      <w:r>
        <w:rPr>
          <w:b/>
        </w:rPr>
        <w:t>E. 2.1</w:t>
      </w:r>
    </w:p>
    <w:p>
      <w:r>
        <w:t>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136 III 624 consid. 4.2.2 p. 626, 627 consid. 2 p. 629 et la jurisprudence citée).</w:t>
      </w:r>
    </w:p>
    <w:p>
      <w:r>
        <w:t>- 4/6 -</w:t>
      </w:r>
    </w:p>
    <w:p>
      <w:r>
        <w:t>C/5193/2014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132 III 480 consid. 4.1 p. 480/481 et les références citées). Une référence ne peut cependant être concrète que si le contenu des documents auxquels il est renvoyé est connu du déclarant et visé par la manifestation de volonté signée (ATF 139 III 297 consid. 2.3.1; ATF 136 III 627 consid. 3.3 p. 632; 132 III 480 consid. 4.3 p. 482; cf. aussi: ATF 106 III 97 consid. 4 p. 99/100; ATF).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w:t>
      </w:r>
    </w:p>
    <w:p>
      <w:r>
        <w:rPr>
          <w:b/>
        </w:rPr>
        <w:t>E. 2.2</w:t>
      </w:r>
    </w:p>
    <w:p>
      <w:r>
        <w:t>En l'occurrence, les factures, accompagnées de bulletins de livraison, ont été libellées à l'adresse de "B______, Restaurant C______, rue D______, tandis que la marchandise a été livrée au E______.</w:t>
      </w:r>
    </w:p>
    <w:p>
      <w:r>
        <w:t>Il est notoire, selon le Registre du commerce et ainsi que l'a retenu le Tribunal, qu'il existe une société C______ SA, aujourd'hui en liquidation, dont le siège se trouvait à D______. Il était par ailleurs reconnaissable par la recourante, lors de ses livraisons, que l'établissement public à l'enseigne C______, est situé au E______. Forte de ces deux éléments, la recourante ne pouvait pas ne pas comprendre, bien qu'elle s'en défende, qu'elle avait pour partenaire contractuel C______SA, exploitant le restaurant éponyme, et non l'administrateur de celle-ci, à savoir l'intimé, en dépit du libellé peu rigoureux des factures.</w:t>
      </w:r>
    </w:p>
    <w:p>
      <w:r>
        <w:t>- 5/6 -</w:t>
      </w:r>
    </w:p>
    <w:p>
      <w:r>
        <w:t>C/5193/2014</w:t>
      </w:r>
    </w:p>
    <w:p>
      <w:r>
        <w:t>Par conséquent, l'intimé n'est pas débiteur du montant de 7'445 fr. objet du poste 1 du commandement de payer poursuite n° 13______, dont l'extrait de compte du 17 janvier 2014 (visé à la rubrique "titre de la créance") n'a au demeurant pas été produit.</w:t>
      </w:r>
    </w:p>
    <w:p>
      <w:r>
        <w:t>C'est ainsi à raison que le premier juge a retenu que la condition de l'identité entre le poursuivi et le débiteur désigné dans les pièces valant titre de mainlevée provisoire n'était pas réalisée, et n'a, par voie de conséquence, pas fait droit à la requête.</w:t>
      </w:r>
    </w:p>
    <w:p>
      <w:r>
        <w:t>Le recours est ainsi privé de fondement, de sorte qu'il sera rejeté.</w:t>
      </w:r>
    </w:p>
    <w:p>
      <w:r>
        <w:rPr>
          <w:b/>
        </w:rPr>
        <w:t>E. 3</w:t>
      </w:r>
    </w:p>
    <w:p>
      <w:r>
        <w:t>La recourante, qui succombe, supportera les frais de son recours (art. 106 al. 1 CPC), arrêtés à 450 fr. (art. 41, 68 OELP), couverts par l'avance de frais déjà opérée, acquise à l'Etat (art. 111 al. 1 CPC). * * * * *</w:t>
      </w:r>
    </w:p>
    <w:p>
      <w:r>
        <w:t>- 6/6 -</w:t>
      </w:r>
    </w:p>
    <w:p>
      <w:r>
        <w:t>C/5193/2014 PAR CES MOTIFS, La Chambre civile : A la forme : Déclare recevable le recours formé le 30 juillet 2014 par A______ contre le jugement JTPI/8899/2014 rendu le 11 juillet 2014 par le Tribunal de première instance dans la cause C/5193/2014-21 SML. Au fond : Le rejette. Déboute les parties de toutes autres conclusions. Sur les frais : Arrête les frais du recours à 450 fr., couverts par l'avance déjà opérée,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