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ACJC/124/2018 vom 23. Januar 2018</w:t>
      </w:r>
    </w:p>
    <w:p>
      <w:r>
        <w:t>GE Cour de justice, 2018-01-23, DE</w:t>
      </w:r>
    </w:p>
    <w:p>
      <w:r>
        <w:rPr>
          <w:b/>
        </w:rPr>
        <w:t xml:space="preserve">Quelle: </w:t>
      </w:r>
      <w:r>
        <w:t>https://mcp.opencaselaw.ch/entscheid/ge_gerichte_ACJC_124_2018</w:t>
      </w:r>
    </w:p>
    <w:p>
      <w:r>
        <w:t>FR: GE_GERICHTE ACJC/124/2018 du 23 janvier 2018</w:t>
      </w:r>
    </w:p>
    <w:p>
      <w:r>
        <w:t>IT: GE_GERICHTE ACJC/124/2018 del 23 gennaio 2018</w:t>
      </w:r>
    </w:p>
    <w:p>
      <w:pPr>
        <w:pStyle w:val="Heading2"/>
      </w:pPr>
      <w:r>
        <w:t>Volltext</w:t>
      </w:r>
    </w:p>
    <w:p>
      <w:r>
        <w:t>Décisions | Chambre civile Aller au contenu principal Looking for: (predictive search) Rechercher When autocomplete results are available use up and down arrows to review and enter to select. Touch device users, explore by touch or with swipe gestures. Décisions | Chambre civile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C/16528/2016 ACJC/124/2018 du 23.01.2018 sur JTPI/9696/2017 ( SDF ) , MODIFIE Descripteurs : PROTECTION DE L'UNION CONJUGALE ; DOCUMENT ÉCRIT ; CONDITION DE RECEVABILITÉ ; GARDE ALTERNÉE ; OBLIGATION D'ENTRETIEN ; ENFANT ; CONJOINT Normes : CC.176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