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ACJC/1247/2023 vom 29. September 2023</w:t>
      </w:r>
    </w:p>
    <w:p>
      <w:r>
        <w:t>GE Cour de justice, 2023-09-29, FR</w:t>
      </w:r>
    </w:p>
    <w:p>
      <w:r>
        <w:rPr>
          <w:b/>
        </w:rPr>
        <w:t xml:space="preserve">Quelle: </w:t>
      </w:r>
      <w:r>
        <w:t>https://mcp.opencaselaw.ch/entscheid/ge_gerichte_ACJC_1247_2023</w:t>
      </w:r>
    </w:p>
    <w:p>
      <w:r>
        <w:t>FR: GE_GERICHTE ACJC/1247/2023 du 29 septembre 2023</w:t>
      </w:r>
    </w:p>
    <w:p>
      <w:r>
        <w:t>IT: GE_GERICHTE ACJC/1247/2023 del 29 settembre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Déposé selon la forme écrite et dans le délai de trente jours prescrits par la loi (art. 130, 131, 142 al. 1 et 311 al. 1 CPC), dans une affaire non pécuniaire dans son ensemble, puisque portant notamment sur les droits parentaux (arrêt du Tribunal fédéral 5A_837/2017 du 27 février 2018 consid. 1), l'appel est en l'espèce recevable. Il en va de même de l'appel joint, formé dans la réponse à l'appel (art. 313 al. 1 CPC). Par souci de simplification et pour respecter le rôle initial des parties devant la Cour, le père sera désigné en qualité d'appelant et l'enfant en qualité d'intimé.</w:t>
      </w:r>
    </w:p>
    <w:p>
      <w:r>
        <w:rPr>
          <w:b/>
        </w:rPr>
        <w:t>E. 1.2</w:t>
      </w:r>
    </w:p>
    <w:p>
      <w:r>
        <w:t>L'action n'étant pas liée à une procédure matrimoniale, la procédure simplifiée s'applique (art. 295 CPC).</w:t>
      </w:r>
    </w:p>
    <w:p>
      <w:r>
        <w:t>- 13/26 -</w:t>
      </w:r>
    </w:p>
    <w:p>
      <w:r>
        <w:t>C/20054/2020</w:t>
      </w:r>
    </w:p>
    <w:p>
      <w:r>
        <w:rPr>
          <w:b/>
        </w:rPr>
        <w:t>E. 1.3</w:t>
      </w:r>
    </w:p>
    <w:p>
      <w:r>
        <w:t>La Cour revoit la cause en fait et en droit avec un plein pouvoir d'examen (art. 310 CPC) et applique les maximes inquisitoire et d'office illimitée dans la mesure où le litige concerne des enfants mineurs (art. 55 al. 2, 58 al. 2 et 296 CPC), ce qui a pour conséquence que le juge n'est pas lié par les conclusions des parties (art. 296 al. 3 CPC).</w:t>
      </w:r>
    </w:p>
    <w:p>
      <w:r>
        <w:rPr>
          <w:b/>
        </w:rPr>
        <w:t>E. 2</w:t>
      </w:r>
    </w:p>
    <w:p>
      <w:r>
        <w:t>L'intimé conteste la recevabilité d'un allégué contenu dans la duplique de l'appelant sur appel joint (ch. 3 p. 6).</w:t>
      </w:r>
    </w:p>
    <w:p>
      <w:r>
        <w:rPr>
          <w:b/>
        </w:rPr>
        <w:t>E. 2.1</w:t>
      </w:r>
    </w:p>
    <w:p>
      <w:r>
        <w:t>Il découle du caractère inconditionnel du droit de réplique garanti par les art. 29 al. 2 Cst. et 6 CEDH que celui-ci peut être exercé par les parties après chaque prise de position de la partie adverse. En d'autres termes, ce droit existe indépendamment du fait que le CPC prévoie ou non l'opportunité de prendre position sur l'argumentation de la partie adverse ou que le tribunal ordonne ou non un second échange d'écritures. Il appartient en effet aux parties, et non au juge, de décider si une prise de position ou une pièce nouvellement versée au dossier contient des éléments déterminants qui appellent des observations de leur part (ATF 146 III 97 consid. 3.4.1 et 3.4.2, et les références citées).</w:t>
      </w:r>
    </w:p>
    <w:p>
      <w:r>
        <w:rPr>
          <w:b/>
        </w:rPr>
        <w:t>E. 2.2</w:t>
      </w:r>
    </w:p>
    <w:p>
      <w:r>
        <w:t>En l'espèce, il apparaît que l'allégué litigieux de l'appelant cite expressément un allégué formulé par l'intimé dans sa réplique sur appel joint (ch. 23 p. 13). On ne voit dès lors pas en quoi l'appelant ne pourrait pas spontanément se déterminer à ce propos dans sa duplique sur appel joint, étant observé que celle-ci a été formée dans le délai imparti à cette fin. Au demeurant, la question de la recevabilité de cet allégué peut demeurer ouverte et il n'est pas nécessaire de l'examiner plus avant, vu la solution du litige.</w:t>
      </w:r>
    </w:p>
    <w:p>
      <w:r>
        <w:rPr>
          <w:b/>
        </w:rPr>
        <w:t>E. 3</w:t>
      </w:r>
    </w:p>
    <w:p>
      <w:r>
        <w:t>Les pièces nouvelles produites par les parties sont quant à elles recevables, ce qui n'est pas contesté, étant rappelé que dans les causes de droit de la famille concernant des enfants mineurs, dans lesquelles les maximes d'office et inquisitoire illimitée s'appliquent, tous les faits et moyens de preuve nouveaux sont admis en appel, même si les conditions prévues par l'art. 317 al. 1 CPC ne sont pas réalisées (ATF 144 III 349 consid. 4.2.).</w:t>
      </w:r>
    </w:p>
    <w:p>
      <w:r>
        <w:rPr>
          <w:b/>
        </w:rPr>
        <w:t>E. 4</w:t>
      </w:r>
    </w:p>
    <w:p>
      <w:r>
        <w:t>A titre préalable, l'appelant sollicite que la Cour ordonne une nouvelle audition de l'intimé par le SEASP et la production d'un rapport par la fondation D______.</w:t>
      </w:r>
    </w:p>
    <w:p>
      <w:r>
        <w:rPr>
          <w:b/>
        </w:rPr>
        <w:t>E. 4.1</w:t>
      </w:r>
    </w:p>
    <w:p>
      <w:r>
        <w:t>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w:t>
      </w:r>
    </w:p>
    <w:p>
      <w:r>
        <w:t>- 14/26 -</w:t>
      </w:r>
    </w:p>
    <w:p>
      <w:r>
        <w:t>C/20054/2020 L'autorité jouit d'un large pouvoir d'appréciation (ATF 142 III 413 consid. 2.2.1; arrêt du Tribunal fédéral 5A_37/2017 du 10 juillet 2017 consid. 3.1.2).</w:t>
      </w:r>
    </w:p>
    <w:p>
      <w:r>
        <w:rPr>
          <w:b/>
        </w:rPr>
        <w:t>E. 4.2</w:t>
      </w:r>
    </w:p>
    <w:p>
      <w:r>
        <w:t>En l'espèce, l'enfant B______ a déjà été entendu par le SEASP au cours du présent procès et celui-ci a consigné ses constatations dans un rapport du 26 août 2021, où il a notamment constaté que l'enfant souhaitait avant tout que ses parents s'entendent au sujet de sa prise en charge, plutôt qu'une modification de l'organisation en vigueur. Si ce rapport n'est certes plus récent, la seule modification invoquée par l'appelant pour solliciter une nouvelle audition de l'enfant réside dans le souhait qui serait désormais exprimé par celui-ci de bénéficier d'un régime de garde alternée. Or, outre que ce souhait n'est pas confirmé par l'intimé, certes représenté par sa mère, l'appelant perd de vue que la volonté de l'enfant ne constitue que l'un des éléments à prendre en considération dans la réglementation des droits parentaux, même si, comme en l'espèce, l'enfant est âgé de douze ans et présumé capable de discernement (cf. arrêt du Tribunal fédéral 5A_192/2021 du 18 novembre 2021 consid. 4.1). En l'espèce, d'autres éléments revêtent une importance prépondérante pour apprécier l'intérêt de l'enfant intimé, ainsi qu'il sera démontré ci-dessous, de sorte qu'il ne se justifie pas d'ordonner une nouvelle audition de celui-ci à ce stade. S'agissant de la fondation D______, auprès de laquelle les parents ont entrepris un travail de coparentalité, il n'incombe pas à celle-ci d'attester de l'évolution des relations parentales contre l'avis de l'un des parties impliquées, au risque compromettre la poursuite du travail entamé et de priver l'enfant des bénéfices attendus de cette démarche. Une éventuelle évolution favorable des relations parentales doit pouvoir se manifester en dehors du cadre de la médiation entreprise et être démontrée au moyen d'éléments objectifs extérieurs, que les parties, et notamment l'appelant, ont eu plusieurs fois l'occasion d'apporter au présent procès, y compris au stade de l'appel. Il n'y a dès lors pas lieu d'ordonner l'établissement du rapport sollicité pour ces motifs. Par conséquent, l'appelant sera débouté de ses conclusions préalables tendant à l'administration de nouvelles preuves.</w:t>
      </w:r>
    </w:p>
    <w:p>
      <w:r>
        <w:rPr>
          <w:b/>
        </w:rPr>
        <w:t>E. 5</w:t>
      </w:r>
    </w:p>
    <w:p>
      <w:r>
        <w:t>L'appelant reproche au Tribunal d'avoir attribué la garde de l'intimé à sa mère. Il sollicite l'instauration d'une garde alternée.</w:t>
      </w:r>
    </w:p>
    <w:p>
      <w:r>
        <w:rPr>
          <w:b/>
        </w:rPr>
        <w:t>E. 5.1</w:t>
      </w:r>
    </w:p>
    <w:p>
      <w:r>
        <w:t>Aux termes de l'art. 298 al. 2ter CC, lorsque l'autorité parentale est exercée conjointement, le juge examine, selon le bien de l'enfant, la possibilité de la garde alternée, si le père, la mère ou l'enfant la demande. Bien que l'autorité parentale conjointe soit désormais la règle et qu'elle comprenne le droit de déterminer le lieu de résidence de l'enfant (art. 296 al. 2 et 301a al. 1 CC), elle n'implique pas nécessairement l'instauration d'une garde alternée</w:t>
      </w:r>
    </w:p>
    <w:p>
      <w:r>
        <w:t>- 15/26 -</w:t>
      </w:r>
    </w:p>
    <w:p>
      <w:r>
        <w:t>C/20054/2020 (ATF 142 III 617 consid. 3.2.3). Ainsi, la garde de fait sur l'enfant peut être attribuée à un seul des parents même lorsque l'autorité parentale demeure conjointe. 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La volonté de l'enfant constitue l'un des éléments à prendre en considération, même si la réglementation ne saurait dépendre uniquement de ce seul critère, en particulier lorsque le comportement de l'enfant envers un parent est principalement influencé par l'autre (cf. ATF 127 III 295 consid. 4a). L'âge de l'enfant, sa capacité à se forger une volonté autonome, ce qui est en règle générale</w:t>
      </w:r>
    </w:p>
    <w:p>
      <w:r>
        <w:t>- 16/26 -</w:t>
      </w:r>
    </w:p>
    <w:p>
      <w:r>
        <w:t>C/20054/2020 le cas aux alentours de 12 ans révolus, ainsi que la constance de son avis, sont des éléments centraux pour apprécier le poids qu'il convient de donner à son avis (cf. arrêt du Tribunal fédéral 5A_192/2021 du 18 novembre 2021 consid. 4.1 et les références citées).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rPr>
          <w:b/>
        </w:rPr>
        <w:t>E. 5.2</w:t>
      </w:r>
    </w:p>
    <w:p>
      <w:r>
        <w:t>En l'espèce, les compétences parentales du père et de de la mère ne sont pas remises en cause et ceux-ci ont déjà exercé une garde alternée de l'enfant, jusqu'au mois de mai 2020. Aujourd'hui, l'intimé est cependant placé principalement sous la garde de sa mère depuis plus de trois ans et son évolution est favorable, selon les constatations du SEASP comme selon celles, plus récentes, de sa pédiatre. Comme l'a relevé le Tribunal, le maintien de cette situation apparaît conforme au besoin de stabilité de l'enfant, quand bien même celui-ci aurait exprimé le souhait de passer davantage de temps avec son père. A ce propos, la mère de l'intimé n'a admis devant le Tribunal que son fils ne lui avait fait part d'un tel souhait qu'à une seule reprise et l'on ignore si ce désir demeure d'actualité, étant observé que la position de l'enfant a varié au cours du présent procès. Il convient notamment d'observer que l'intimé a désormais intégré le cycle d'orientation et que ses besoins de prise en charge en sont logiquement affectés. En particulier, l'établissement qu'il fréquente désormais est sensiblement plus éloigné du domicile de son père qu'il ne l'est de celui de sa mère et il ne paraît pas conforme à l'intérêt de l'enfant d'effectuer de longs trajets transfrontaliers en transports publics, une semaine sur deux, pour poursuivre sa scolarité, au risque notamment d'écourter son sommeil ou son temps de repos, alors que l'appelant reconnaît lui- même que l'enfant peut présenter des signes de fatigue s'il est trop sollicité. Les indications de l'appelant selon lesquelles il pourrait conduire son fils à son établissement scolaire en 15 minutes en voiture, qui se fondent sur un extrait d'un site internet étranger, paraissent quant à elles peu crédibles, compte tenu des difficultés de circulation notoires du trafic privé à Genève à l'heure des déplacements pendulaires. A supposer que tel soit le cas, l'appelant n'expose pas comment il pourrait pareillement conduire l'enfant à ses différentes activités extrascolaires, étant observé qu'il s'est précédemment opposé à l'exercice de celles-ci sur son temps de garde. Les éléments versés à la procédure ne démontrent par ailleurs aucune amélioration de la communication parentale, celle-ci s'effectuant toujours essentiellement par écrit compte tenu du conflit persistant entre les parents. Dans ces conditions et compte tenu de l'ensemble des éléments susvisés, le jugement entrepris sera</w:t>
      </w:r>
    </w:p>
    <w:p>
      <w:r>
        <w:t>- 17/26 -</w:t>
      </w:r>
    </w:p>
    <w:p>
      <w:r>
        <w:t>C/20054/2020 confirmé en tant qu'il a confié la garde de l'enfant B______ à sa mère (ch. 1 du dispositif).</w:t>
      </w:r>
    </w:p>
    <w:p>
      <w:r>
        <w:rPr>
          <w:b/>
        </w:rPr>
        <w:t>E. 5.3</w:t>
      </w:r>
    </w:p>
    <w:p>
      <w:r>
        <w:t>Subsidiairement, l'appelant sollicite le maintien du droit de visite étendu qui lui a été octroyé par le Tribunal, au cas où une garde alternée ne pourrait pas être instaurée. L'intimé ne s'y oppose pas. Ce droit de visite paraît effectivement conforme à son intérêt et son déroulement ne pose pas de difficultés en pratique. Par conséquent, le jugement entrepris sera également confirmé sur ce point (ch. 2 du dispositif).</w:t>
      </w:r>
    </w:p>
    <w:p>
      <w:r>
        <w:rPr>
          <w:b/>
        </w:rPr>
        <w:t>E. 6</w:t>
      </w:r>
    </w:p>
    <w:p>
      <w:r>
        <w:t>L'appelant conteste le montant de la contribution d'entretien mise à sa charge par le Tribunal. Il reproche au premier juge de lui avoir imputé un revenu hypothétique, ainsi que d'avoir mésestimé ses charges.</w:t>
      </w:r>
    </w:p>
    <w:p>
      <w:r>
        <w:rPr>
          <w:b/>
        </w:rPr>
        <w:t>E. 6.1</w:t>
      </w:r>
    </w:p>
    <w:p>
      <w:r>
        <w:t>Selon l'art. 276 al. 2 CC, l'entretien de l'enfant est assuré par les soins, l'éducation et des prestations pécuniaires, ces trois éléments étant considérés comme équivalents (ATF 147 III 265 consid. 5.5 ; arrêt du Tribunal fédéral 5A_117/2021 du 9 mars 2022 consid. 4.2). Aux termes de l'art. 276 al. 2 CC, les parents contribuent ensemble, chacun selon ses facultés, à l'entretien convenable de l'enfant et assument en particulier les frais de sa prise en charge, de son éducation, de sa formation et des mesures prises pour le protéger. Selon l'art. 285 al. 1 CC, la contribution d'entretien due à l'enfant doit correspondre aux besoins de celui-ci, ainsi qu'à la situation et aux ressources des père et mère, compte tenu de la fortune et des revenus de l'enfant.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w:t>
      </w:r>
    </w:p>
    <w:p>
      <w:r>
        <w:rPr>
          <w:b/>
        </w:rPr>
        <w:t>E. 6.1.1</w:t>
      </w:r>
    </w:p>
    <w:p>
      <w:r>
        <w:t>Le Tribunal fédéral a posé, pour toute la Suisse, une méthode de calcul uniforme des contributions d'entretien du droit de la famille (ATF 147 III 265, SJ 2021 I 3016; 147 III 293; 147 III 301).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w:t>
      </w:r>
    </w:p>
    <w:p>
      <w:r>
        <w:t>- 18/26 -</w:t>
      </w:r>
    </w:p>
    <w:p>
      <w:r>
        <w:t>C/20054/2020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w:t>
      </w:r>
    </w:p>
    <w:p>
      <w:r>
        <w:rPr>
          <w:b/>
        </w:rPr>
        <w:t>E. 6.1.2</w:t>
      </w:r>
    </w:p>
    <w:p>
      <w:r>
        <w:t>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5A_554/2017 du 20 septembre 2017 consid. 3.2.). Il n'est pas contraire au droit fédéral de renoncer à la fixation d'un délai d'adaptation, lorsque le débiteur a déjà travaillé à plein temps et s'est acquitté de</w:t>
      </w:r>
    </w:p>
    <w:p>
      <w:r>
        <w:t>- 19/26 -</w:t>
      </w:r>
    </w:p>
    <w:p>
      <w:r>
        <w:t>C/20054/2020 son obligation alimentaire existante. Dans ce cas, le débiteur doit entreprendre tout ce qui est en son pouvoir, et en particulier exploiter pleinement sa capacité de gain, pour pouvoir continuer à assumer son obligation d'entretien. Même dans l'hypothèse d'un changement involontaire d'emploi, s'il se satisfait en connaissance de cause d'une activité lucrative lui rapportant des revenus moindres, il doit se laisser imputer le revenu qu'il serait, eu égard aux circonstances du cas d'espèce, capable de réaliser en mettant à profit sa pleine capacité de gain, cas échéant avec effet rétroactif (ATF 143 III 617 consid. 5.4.1; arrêts du Tribunal fédéral 5A_253/2020 du 25 mars 2021 consid. 3.1.2 et les arrêts cités; 5A_571/2018 du 14 septembre 2018 consid. 5.1.2).</w:t>
      </w:r>
    </w:p>
    <w:p>
      <w:r>
        <w:rPr>
          <w:b/>
        </w:rPr>
        <w:t>E. 6.1.3</w:t>
      </w:r>
    </w:p>
    <w:p>
      <w:r>
        <w:t>Dans le calcul des besoins, le minimum vital du droit des poursuites comprend l'entretien de base selon les normes d'insaisissabilité (RS/GE E 3 60.04) – lequel comprend, notamment, l'alimentation, les vêtements et le linge, ainsi que les soins corporels et de santé – auquel sont ajoutées les dépenses incompressibles soit les frais de logement, la prime d'assurance-maladie de base, les frais de transports et les frais de repas pris à l'extérieur (ATF 147 III 265 précité consid. 7.2). Dans la mesure où les moyens financiers le permettent, la contribution d'entretien doit être étendue au minimum vital du droit de la famille permet de tenir compte des impôts, des primes d'assurance-maladie complémentaires ou d'un montant adapté pour l'amortissement des dettes (ATF 147 III 265 consid. 7.2; arrêt du Tribunal fédéral 5A_583/2018 du 18 janvier 2019 consid. 5.1). En revanche, la prise en compte de postes supplémentaires comme les voyages ou les loisirs n'est pas admissible. Ces besoins doivent être financés au moyen de la répartition de l'excédent. Toutes les autres particularités doivent également être appréciées au moment de la répartition de l'excédent (ATF 147 III 265 consid. 7.2). La Cour de justice a pour pratique de retenir un coût de la vie en France, y compris en France-voisine, de 15% moins élevé qu'en Suisse (cf. ACJC/671/2023 du 23 mai 2023 consid. 4.2.2.2; ACJC/589/2023 du 2 mai 2023 consid. 2.1.6; ACJC/1519/2022 du 15 novembre 2022 consid. 4.2.1; ACJC/815/2022 du 15 juin 2022 consid. 5.2.4; voir aussi OCHSNER, Le minimum vital (art. 93 al. 1 LP), in SJ 2012 II p. 135).</w:t>
      </w:r>
    </w:p>
    <w:p>
      <w:r>
        <w:rPr>
          <w:b/>
        </w:rPr>
        <w:t>E. 6.2</w:t>
      </w:r>
    </w:p>
    <w:p>
      <w:r>
        <w:t>En l'espèce, la situation des parents et de l'enfant B______ s'apprécie comme suit:</w:t>
      </w:r>
    </w:p>
    <w:p>
      <w:r>
        <w:rPr>
          <w:b/>
        </w:rPr>
        <w:t>E. 6.2.1</w:t>
      </w:r>
    </w:p>
    <w:p>
      <w:r>
        <w:t>Lors du dépôt de la présente action, l'appelant travaillait à un taux d'activité total de 70%, réparti entre deux employeurs. Après avoir convenu de mettre un terme à son principal emploi au 31 mars 2021, il a repris un poste portant son taux d'activité à 60% dès le 8 novembre 2021, puis à 80% dès le 1er janvier 2023. Contrairement à ce qu'a retenu le Tribunal, il n'y a pas lieu d'imputer à l'appelant</w:t>
      </w:r>
    </w:p>
    <w:p>
      <w:r>
        <w:t>- 20/26 -</w:t>
      </w:r>
    </w:p>
    <w:p>
      <w:r>
        <w:t>C/20054/2020 un revenu hypothétique pour l'avenir. Les certificats médicaux produits établissent en effet suffisamment que les pathologies dont il souffre au niveau du dos entrainent une incapacité de travail de l'ordre de 20% environ, étant observé que l'existence même de ces pathologies n'est pas contestée par l'intimé. On relèvera également que la mère de l'intimé, qui s'oppose à l'instauration d'une garde alternée, travaille elle-même avec un taux d'activité de 80%. On peut en revanche s'interroger sur la nature du licenciement subi par l'appelant, qui a fait l'objet d'une convention négociée avec son ancien employeur et qui a été accepté peu après que la garde de B______ a été de facto confiée à sa mère, ainsi que sur les raisons pour lesquelles l'appelant n'a pas cherché plus tôt à retrouver un taux d'activité de 70% ou de 80%. Comme l'a relevé le Tribunal, l'appelant n'a produit aucun élément témoignant de ses recherches d'emploi et les certificats médicaux produits ne permettent pas de retenir que sa capacité de travail fût alors effectivement limitée à 60%. Ses seules déclarations selon lesquelles il se portait mieux les semaines où il travaillait trois jours que celles où il travaillait quatre jours sont à cet égard insuffisantes. Dans ces conditions, la Cour retiendra que la capacité de gain de l'appelant était de 6'692 fr. net par mois jusqu'à la fin de l'année 2022, correspondant au revenu qu'il réalisait à un taux total de 70%. Cette capacité s'établit ensuite à 6'854 fr. net par mois à compter du 1er janvier 2023, correspondant à ses revenus effectifs dès cette date.</w:t>
      </w:r>
    </w:p>
    <w:p>
      <w:r>
        <w:rPr>
          <w:b/>
        </w:rPr>
        <w:t>E. 6.2.2</w:t>
      </w:r>
    </w:p>
    <w:p>
      <w:r>
        <w:t>S'agissant de ses charges, c'est en vain que l'appelant reproche au Tribunal de n'avoir pris en compte que la moitié de l'entretien de base pour un couple, et réduit de moitié certaines de ses dépenses, au motif qu'il partageait désormais son logement avec une compagne. Un tel procédé est en effet conforme aux lignes directrices pour le calcul du minimum d'existence selon l'art. 93 LP émises par la Conférence des préposés aux poursuites et faillites et reconnues par la jurisprudence (cf. ATF 130 III 765 consid. 2.4, cf. ég. arrêt du Tribunal fédéral 5A_827/2022 du 16 mai 2023 consid. 5.3.1) et il importe peu de savoir de savoir si ladite compagne travaille ou pourrait objectivement exercer une activité lucrative, pas plus qu'il n'est important de savoir si et dans quelle mesure elle participe effectivement aux frais du ménage (cf. ATF 144 III 502 consid. 6.6; ATF 138 III 97 consid. 2.3.2 et 2.3.3). Une réduction de 15% appliquée au montant de base de l'appelant, pour tenir compte du coût de la vie inférieur en France, est également conforme à la jurisprudence rappelée ci-dessus. Il convient d'observer que le Tribunal aurait également pu écarter des charges admissibles de l'appelant ses frais de gaz et d'électricité, qui sont inclus dans le montant de base selon les normes d’insaisissabilité, ainsi que l'amortissement hypothécaire, qui constitue de</w:t>
      </w:r>
    </w:p>
    <w:p>
      <w:r>
        <w:t>- 21/26 -</w:t>
      </w:r>
    </w:p>
    <w:p>
      <w:r>
        <w:t>C/20054/2020 l'épargne (cf. arrêt du Tribunal fédéral 5A_311/2019 du 11 novembre 2020 consid. 7.2), postes qui ne sont toutefois pas contestés par l'intimé. Compte tenu de ce qui précède, les charges mensuelles admissibles de l'appelant comprennent donc son entretien de base (723 fr., correspondant à la moitié de 1'700 fr., elle-même réduite de 15%), la moitié de ses charges de copropriété (80 fr.), des intérêts hypothécaires (115 fr.), de la taxe d'habitation (28 fr.), de la taxe foncière (25 fr.), de l'assurance habitation (15 fr.), des frais d'électricité (26 fr.) et de gaz (25 fr.), ainsi que l'entier de l'amortissement (1'000 fr.), de ses primes d'assurance santé (312 fr.), de ses frais de télécommunications (58 fr.), de ses frais de transport (430 fr.) et de ses impôts (598 fr.), qui ne sont pas contestés, soit un total de 3'435 fr. par mois. Il en résulte que l'appelant possède actuellement un solde disponible de 3'420 fr. par mois environ (6'854 fr. – 3'435 fr. = 3'419 fr.).</w:t>
      </w:r>
    </w:p>
    <w:p>
      <w:r>
        <w:rPr>
          <w:b/>
        </w:rPr>
        <w:t>E. 6.2.3</w:t>
      </w:r>
    </w:p>
    <w:p>
      <w:r>
        <w:t>Le revenu de la mère de l'intimé n'est pas contesté et s'élève à 8'604 fr. net par mois (7'942 fr. x 13/12). Non contestées également, ses charges personnelles s'élèvent à 5'113 fr. par mois (cf. en fait, consid. C let. i.a ci-dessus), étant précisé que 20% de ses frais de logement doivent être imputés à l'enfant intimé, conformément aux principes rappelés ci-dessus (1'184 fr. x 20% = 237 fr.; 5'350 fr. – 237 fr. = 5'113 fr.; cf. arrêt du Tribunal fédéral 5A_952/2019 du 2 décembre 2020 consid. 5.3.3.3). Le disponible mensuel de la mère de l'intimé s'élève dès lors à 3'490 fr. en chiffres ronds (8'604 fr. – 5'113 fr.).</w:t>
      </w:r>
    </w:p>
    <w:p>
      <w:r>
        <w:rPr>
          <w:b/>
        </w:rPr>
        <w:t>E. 6.2.4</w:t>
      </w:r>
    </w:p>
    <w:p>
      <w:r>
        <w:t>Allocations familiales déduites, et part au loyer de sa mère comprise, les coûts effectifs de l'intimé s'élèvent quant à eux à 1'210 fr. par mois en chiffres ronds (1'270 fr. – 300 fr. + 237 fr.). Dès lors que la mère de l'intimé assume sa garde, et donc l'essentiel de son entretien en nature, il incombe à l'appelant de supporter les coûts financiers susvisés. Les revenus de la mère de l'intimé suffisant à couvrir ses charges personnelles, il n'y a pas lieu d'ajouter une contribution de prise en charge aux coûts de l'intimé, ce qui n'est pas contesté. Il reste à examiner la question de l'excédent.</w:t>
      </w:r>
    </w:p>
    <w:p>
      <w:r>
        <w:rPr>
          <w:b/>
        </w:rPr>
        <w:t>E. 6.3</w:t>
      </w:r>
    </w:p>
    <w:p>
      <w:r>
        <w:t>Compte tenu des chiffres qui précèdent, l'excédent familial s'élève en l'espèce à 5'700 fr. par mois (disponible du père: 3'420 fr. + disponible de la mère: 3'490 fr. – coûts effectifs de l'enfant: 1'210 fr. = 5'700 fr.). Réparti strictement selon le principe "grandes têtes, petites têtes", cet excédent représente un montant de 2'280 fr. par mois par adulte et de 1'140 fr. par mois</w:t>
      </w:r>
    </w:p>
    <w:p>
      <w:r>
        <w:t>- 22/26 -</w:t>
      </w:r>
    </w:p>
    <w:p>
      <w:r>
        <w:t>C/20054/2020 pour l'enfant (5'700 fr. / 5 = 1'140 fr.; 1'140 fr. x 2 = 2'280 fr.). Ceci implique que l'appelant ne peut pas verser à l'intimé une quelconque part d'excédent, en sus de couvrir ses coûts effectifs, sans entamer sa propre part d'excédent (disponible de l'appelant: 3'420 fr – coûts effectifs de l'intimé: 1'210 fr. = 2'210 fr., soit moins de 2'280 fr. d'excédent propre restant). La contribution de l'appelant à l'entretien de l'intimé devrait donc être limitée à la couverture de ses frais effectifs, soit 1'210 fr. par mois. L'appelant ayant cependant offert, dans sa réplique sur appel principal, de contribuer à l'entretien de l'intimé à hauteur de 1'250 fr. par mois au cas où une garde alternée ne serait pas instaurée, il sera fait droit à ses conclusions en ce sens que sa contribution sera effectivement fixée à 1'250 fr. par mois dès son accession à son niveau de revenu actuel, soit dès le 1er janvier 2023. Pour la période antérieure, il a été retenu ci-dessus qu'un revenu de 6'692 fr. net par mois pouvait être imputé à l'appelant, correspondant à celui qu'il réalisait avant l'introduction du présent procès. Ce revenu est inférieur d'environ 150 fr. par mois à son revenu actuel. Par souci de simplification, et considérant notamment que l'intimé n'a pas requis de contribution provisionnelle à son entretien pour la durée du procès, la contribution susvisée de 1'250 fr. par mois sera donc réduite de 150 fr., à 1'100 fr. par mois, pour la période précédant le 1er janvier 2023. Il reste à examiner le dies a quo de cette obligation, ainsi que l'imputation des sommes déjà versées.</w:t>
      </w:r>
    </w:p>
    <w:p>
      <w:r>
        <w:rPr>
          <w:b/>
        </w:rPr>
        <w:t>E. 7</w:t>
      </w:r>
    </w:p>
    <w:p>
      <w:r>
        <w:t>Sur appel joint, l'intimé reproche au Tribunal de ne pas avoir fixé le point de départ de l'obligation d'entretien de l'appelant au 1er mai 2020 et de ne pas avoir condamné celui-ci à lui verser le montant de l'arriéré, sous déduction des sommes effectivement versées.</w:t>
      </w:r>
    </w:p>
    <w:p>
      <w:r>
        <w:rPr>
          <w:b/>
        </w:rPr>
        <w:t>E. 7.1</w:t>
      </w:r>
    </w:p>
    <w:p>
      <w:r>
        <w:t>La loi prévoit que l'enfant peut agir contre son père et sa mère, ou contre les deux ensemble, afin de leur réclamer l'entretien pour l'avenir et pour l'année qui précède l'ouverture de l'action (art. 279 al. 1 CC). L'effet rétroactif ne se justifie que si l'entretien dû n'a pas été assumé en nature ou en espèces ou dès qu'il a cessé de l'être (arrêt du Tribunal fédéral 5A_372/2015 du 29 septembre 2015 consid. 3.1). En cas de versement rétroactif de contributions d'entretien, le juge qui en fixe le montant doit tenir compte des versements déjà effectués à ce titre par le parent débirentier, sur la base des allégués et des preuves offertes en procédure (ATF 138 III 583 consid. 6.1.1; 135 III 315 consid. 2.4; arrêt du Tribunal fédéral 5A_217/2012 du 9 juillet 2012 consid. 6).</w:t>
      </w:r>
    </w:p>
    <w:p>
      <w:r>
        <w:t>- 23/26 -</w:t>
      </w:r>
    </w:p>
    <w:p>
      <w:r>
        <w:t>C/20054/2020 Il ne se justifie par ailleurs pas de limiter le versement de la contribution aux 25 ans de l'enfant, dès lors qu'une limitation temporelle absolue de l'obligation d'entretien au moment où l'enfant atteint l'âge de 25 ans révolus n'existe pas en droit civil (ATF 130 V 237; arrêt du Tribunal fédéral 5A_330/2014 du 30 octobre 2014 consid. 8.3).</w:t>
      </w:r>
    </w:p>
    <w:p>
      <w:r>
        <w:rPr>
          <w:b/>
        </w:rPr>
        <w:t>E. 7.2</w:t>
      </w:r>
    </w:p>
    <w:p>
      <w:r>
        <w:t>En l'espèce, l'intimé a ouvert action le 8 octobre 2020. Il s'ensuit que ses prétentions en matière d'entretien pourraient remonter au 8 octobre 2019 au plus tôt. Les parents ont cependant exercé une garde alternée de l'intimé - et se sont apparemment partagé les coûts de son entretien - jusqu'au mois de mai 2020. Il n'y a dès lors pas lieu de faire remonter l'obligation d'entretien de l'appelant à une date antérieure, ce que l'intimé lui-même reconnaît. Considérant la faible quotité des montants ensuite versés par l'appelant à titre de contribution à l'entretien de l'intimé, alors qu'il disposait d'une capacité de gain supérieure (cf. consid. 6.2.1. ci-dessus), il n'y a en revanche pas lieu de renoncer à régler son obligation d'entretien pour la période précédant le prononcé du jugement entrepris, contrairement à ce qu'a retenu le Tribunal. L'intimé est au contraire fondé à obtenir de l'appelant des contributions régulières à son entretien dès l'instauration de la garde exclusive, soit in casu dès le mois de mai 2020. Comme retenu ci-dessus (consid. 6.3 in fine), ces contributions doivent être fixées à 1'100 fr. par mois, ce qui représente un total de 35'200 fr. pour la période du 1er mai 2020 au 31 décembre 2022 (32 mois à 1'100 fr. par mois). Il est par ailleurs établi que, durant la même période, l'appelant s'est acquitté de versements totalisant 8'347 fr. Par conséquent, il sera fait partiellement droit aux conclusions de l'intimé sur appel joint, en ce sens que l'appelant sera condamné à lui payer une somme de 26'853 fr. (soit 35'200 fr. – 8'347 fr.) à titre d'arriéré d'entretien pour la période du 1er mai 2020 au 31 décembre 2022. Comme exposé ci-dessus, l'appelant sera ensuite condamné à contribuer à l'entretien de l'intimé à hauteur de 1'250 fr. par mois dès le 1er janvier 2023, et ce jusqu'à la majorité de l'intimé, voire au-delà en cas d'études sérieuses et régulières. Les chiffres 4 et 5 du dispositif du jugement entrepris seront réformés en ce sens.</w:t>
      </w:r>
    </w:p>
    <w:p>
      <w:r>
        <w:rPr>
          <w:b/>
        </w:rPr>
        <w:t>E. 8.1</w:t>
      </w:r>
    </w:p>
    <w:p>
      <w:r>
        <w:t>La réformation partielle du jugement entrepris ne commande pas de revoir la décision du Tribunal sur les frais, qui n'est pas contestée (art. 318 al. 3 CPC a contrario).</w:t>
      </w:r>
    </w:p>
    <w:p>
      <w:r>
        <w:rPr>
          <w:b/>
        </w:rPr>
        <w:t>E. 8.2</w:t>
      </w:r>
    </w:p>
    <w:p>
      <w:r>
        <w:t>Les frais judiciaires de l'appel et de l'appel joint seront arrêtés à 2'400 fr. au total (art. 32 et 35 RTFMC) et mis pour moitié à la charge de chacune des parties, vu la nature familiale du litige (art. 105 al. 1, art. 107 al. 1 let. c CPC). Ils seront</w:t>
      </w:r>
    </w:p>
    <w:p>
      <w:r>
        <w:t>- 24/26 -</w:t>
      </w:r>
    </w:p>
    <w:p>
      <w:r>
        <w:t>C/20054/2020 compensés avec les avances de frais de 1'200 fr. versées par chacune des parties, qui demeurent acquises à l'Etat de Genève (art. 111 al. 1 CPC). Pour les mêmes motifs, chaque partie supportera ses propres dépens d'appel (art. 107 al. 1 let. c CPC). * * * * *</w:t>
      </w:r>
    </w:p>
    <w:p>
      <w:r>
        <w:t>- 25/26 -</w:t>
      </w:r>
    </w:p>
    <w:p>
      <w:r>
        <w:t>C/20054/2020 PAR CES MOTIFS, La Chambre civile : A la forme : Déclare recevable l'appel interjeté le 5 décembre 2022 par A______ contre le jugement JTPI/12877/2022 rendu le 1er novembre 2022 par le Tribunal de première instance dans la cause C/20054/2020. Déclare recevable l'appel joint formé par le mineur B______ contre ce même jugement. Au fond : Annule les chiffres 4 et 5 du dispositif du jugement entrepris et, statuant à nouveau sur ces points: Condamne A______ à verser en mains de C______ la somme de 26'853 fr. à titre d'arriéré d'entretien du mineur B______ pour la période du 1er mai 2020 au 31 décembre 2022. Condamne A______ à verser en mains de C______, à titre de contribution à l'entretien du mineur B______, par mois et d'avance, allocations familiales non comprises, la somme de 1'250 fr. à compter du 1er janvier 2023 et jusqu'à la majorité de B______, voire au-delà en cas d'études sérieuses et régulières. Confirme le jugement entrepris pour le surplus. Déboute les parties de toutes autres conclusions. Sur les frais : Arrête les frais judiciaires d'appel et d'appel joint à 2'400 fr., les met à la charge des parties pour moitié chacune et les compense avec les avances de frais de 1'200 fr. respectivement versées par chacune des parties, qui demeurent acquises à l'Etat de Genève. Di que chaque partie supporte ses propres dépens d'appel et d'appel joint. Siégeant : Monsieur Laurent RIEBEN, président; Monsieur Patrick CHENAUX, Madame Fabienne GEISINGER-MARIETHOZ, juges; Madame Sophie MARTINEZ, greffière.</w:t>
      </w:r>
    </w:p>
    <w:p>
      <w:r>
        <w:t>- 26/26 -</w:t>
      </w:r>
    </w:p>
    <w:p>
      <w:r>
        <w:t>C/20054/2020</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