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ACJC/1247/2020 vom 29. September 2020</w:t>
      </w:r>
    </w:p>
    <w:p>
      <w:r>
        <w:t>GE Cour de justice, 2020-09-29, FR</w:t>
      </w:r>
    </w:p>
    <w:p>
      <w:r>
        <w:rPr>
          <w:b/>
        </w:rPr>
        <w:t xml:space="preserve">Quelle: </w:t>
      </w:r>
      <w:r>
        <w:t>https://mcp.opencaselaw.ch/entscheid/ge_gerichte_ACJC_1247_2020</w:t>
      </w:r>
    </w:p>
    <w:p>
      <w:r>
        <w:t>FR: GE_GERICHTE ACJC/1247/2020 du 29 septembre 2020</w:t>
      </w:r>
    </w:p>
    <w:p>
      <w:r>
        <w:t>IT: GE_GERICHTE ACJC/1247/2020 del 29 settembre 2020</w:t>
      </w:r>
    </w:p>
    <w:p>
      <w:pPr>
        <w:pStyle w:val="Heading2"/>
      </w:pPr>
      <w:r>
        <w:t>Erwägungen</w:t>
      </w:r>
    </w:p>
    <w:p>
      <w:r>
        <w:rPr>
          <w:b/>
        </w:rPr>
        <w:t>E. 1</w:t>
      </w:r>
    </w:p>
    <w:p>
      <w:r>
        <w:t>Il n'y a pas lieu de revenir sur la recevabilité de l'appel qui a été admise par la Cour dans son arrêt du 29 août 2019 et qui n'a pas été critiquée devant le Tribunal fédéral.</w:t>
      </w:r>
    </w:p>
    <w:p>
      <w:r>
        <w:rPr>
          <w:b/>
        </w:rPr>
        <w:t>E. 2.1</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5P_425/2002 du 25 novembre consid. 2.1).</w:t>
      </w:r>
    </w:p>
    <w:p>
      <w:r>
        <w:rPr>
          <w:b/>
        </w:rPr>
        <w:t>E. 2.2</w:t>
      </w:r>
    </w:p>
    <w:p>
      <w:r>
        <w:t>En l'espèce, conformément à l'arrêt du Tribunal fédéral du 27 mars 2020, la Cour se limitera à réexaminer la question de la garde de l'enfant et, cas échéant, la contribution à son entretien, à l'exclusion de tout autre grief. L'intimé a conclu à ce qu'il soit constaté qu'aucune contribution d'entretien n'est due à l'appelante. Il confond toutefois la contribution d'entretien due à l'épouse et la contribution de prise en charge due à l'enfant (cf. infra 5.1.3). Or, comme l'a relevé le Tribunal fédéral, l'appelante a d'ores et déjà été déboutée de ses conclusions en paiement d'une contribution à son propre entretien et n'a pas fait appel du jugement sur ce point. Elle ne prend d'ailleurs aucune conclusion en ce sens. Par conséquent, seule la contribution à l'entretien de l'enfant, pouvant comprendre une contribution de prise en charge, sera examinée ci-après.</w:t>
      </w:r>
    </w:p>
    <w:p>
      <w:r>
        <w:rPr>
          <w:b/>
        </w:rPr>
        <w:t>E. 3</w:t>
      </w:r>
    </w:p>
    <w:p>
      <w:r>
        <w:t>Les faits nouveaux ne sont admis que dans la mesure où ils concernent les points faisant l'objet du renvoi et où ils sont admissibles selon le droit de procédure (ATF 135 III 334 consid. 2; 131 III 91 consid. 5.2; arrêt du Tribunal fédéral 5A_561/2011 du 19 mars 2012 consid. 4.1).</w:t>
      </w:r>
    </w:p>
    <w:p>
      <w:r>
        <w:t>Les pièces nouvelles produites par les parties sont recevables dès lors qu'elles sont relatives à des éléments pouvant entrer en considération pour statuer sur le sort de</w:t>
      </w:r>
    </w:p>
    <w:p>
      <w:r>
        <w:t>- 10/20 -</w:t>
      </w:r>
    </w:p>
    <w:p>
      <w:r>
        <w:t>C/4186/2018 l'enfant mineur et fixer le montant de la contribution due pour l'entretien de celui- ci (ATF 144 III 349 consid. 4.2.1), objet du renvoi par le Tribunal fédéral.</w:t>
      </w:r>
    </w:p>
    <w:p>
      <w:r>
        <w:rPr>
          <w:b/>
        </w:rPr>
        <w:t>E. 4</w:t>
      </w:r>
    </w:p>
    <w:p>
      <w:r>
        <w:t>Conformément à l'arrêt de renvoi du Tribunal fédéral, il y a lieu de statuer à nouveau sur l'attribution de la garde de l'enfant, chacune des parties la réclamant pour elle-même.</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exerçant en commun l'autorité parentale se partagent la garde de l'enfant pour des périodes plus ou moins égales, qui peuvent être fixées en jours ou en semaines, voire en mois (parmi plusieurs, arrêt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(arrêts du Tribunal fédéral 5A_805/2019 du 27 mars 2020 consid. 4.1; 5A_200/2019 précité consid. 3.1.2 et les références).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w:t>
      </w:r>
    </w:p>
    <w:p>
      <w:r>
        <w:t>- 11/20 -</w:t>
      </w:r>
    </w:p>
    <w:p>
      <w:r>
        <w:t>C/4186/2018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arrêts du Tribunal fédéral 5A_805/2019 précité consid. 4.1; 5A_200/2019 précité consid. 3.1.2;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5A_805/2019 précité consid. 4.1; 5A_200/2019 précité consid. 3.1.2 et les autres références).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du Tribunal fédéral 5A_805/2019 précité consid. 4.1 et la jurisprudence citée). Le juge n'est pas lié par les conclusions du SEASP. Le rapport de ce service (lequel constitue une preuve au sens des art. 168 et 190 CPC) est soumis, à l'instar des autres preuves, au principe de la libre appréciation consacré par l'art. 157 CPC. Il peut s'écarter des conclusions d'un rapport établi par un tel service à des conditions moins strictes que celles applicables lorsqu'il s'agit d'une expertise judiciaire (arrêt du Tribunal fédéral 5A_805/2019 précité consid. 4.1 et la jurisprudence citée). Cependant une portée</w:t>
      </w:r>
    </w:p>
    <w:p>
      <w:r>
        <w:t>- 12/20 -</w:t>
      </w:r>
    </w:p>
    <w:p>
      <w:r>
        <w:t>C/4186/2018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(ACJC/1311/2017 du 11 octobre 2017 consid. 3.1.2; ACJC/662/2017 du 9 juin 2017 consid. 3.2; ACJC/1208/2016 du 9 septembre 2016 consid. 5.1.2).</w:t>
      </w:r>
    </w:p>
    <w:p>
      <w:r>
        <w:rPr>
          <w:b/>
        </w:rPr>
        <w:t>E. 4.2</w:t>
      </w:r>
    </w:p>
    <w:p>
      <w:r>
        <w:t>En l'espèce, il n'a pas été remis en cause devant le Tribunal fédéral que les capacités parentales des parties sont équivalentes, que la relation de l'enfant est de qualité avec chacun de ses parents et que ceux-ci habitent à proximité l'un de l'autre. La constatation faite tant par le Tribunal que par la Cour selon laquelle si la communication entre les parents n'est pas toujours optimale, il n'avait toutefois pas été allégué que l'intimé ne communiquait pas les renseignements importants à l'appelante, n'a pas plus été contestée devant le Tribunal fédéral. L'appelante se retranche pourtant une nouvelle fois derrière cet argument pour refuser la garde partagée. Or, aucun fait nouveau ne vient corroborer l'existence d'une dégradation dans la communication des parties qui permettrait de considérer que celle-ci pourrait faire obstacle à une garde partagée. Les parents connaissent des divergences sur la prise en charge de l'enfant dès lors que la procédure portant sur ce point n'est pas achevée. Il est toutefois hautement vraisemblable qu'une fois les droits de chacune des parties définitivement fixés la communication entre les parties s'en trouvera apaisée. Il n'y a donc pas lieu de réentendre les parties, d'entendre des témoins et/ou d'ordonner un nouveau rapport du SEASP. Conformément aux constatations effectuées par le Tribunal fédéral, il y a lieu de retenir que, avant la séparation, les parents s'occupaient tous deux de l'enfant, que depuis la séparation jusqu'à l'audience de comparution personnelle, chacun des parents s'était occupé de l'enfant une moitié de la semaine, et que depuis cette dernière date, l'intimé s'était occupé de l'enfant presque toutes les semaines du vendredi à la sortie de la crèche jusqu'au lundi matin. En outre, le SEASP avait considéré que le droit de visite de père pouvait être élargi ou une garde alternée instaurée si ce dernier accédait à un logement personnel se trouvant à une distance maximale de trente minutes de la crèche ou de la future école de l'enfant. Enfin, depuis le prononcé de l'arrêt du Tribunal fédéral, l'intimé a prouvé pouvoir diminuer son taux d'activité à 80% afin de pouvoir s'occuper de l'enfant les mercredis. Dès lors, toutes les conditions sont réunies pour que les parents se partagent la garde de l'enfant. Depuis la séparation, les parties se sont réparties la garde de l'enfant de manière plus ou moins partagée, en dernier lieu à raison de quatre jours pour la mère, en début de semaine, et de trois jours pour le père, en fin de semaine. Il y a donc lieu de confirmer cette répartition de la garde de fait - chez la mère en début de semaine et chez le père en fin de semaine - en tenant compte du fait que l'enfant</w:t>
      </w:r>
    </w:p>
    <w:p>
      <w:r>
        <w:t>- 13/20 -</w:t>
      </w:r>
    </w:p>
    <w:p>
      <w:r>
        <w:t>C/4186/2018 est maintenant scolarisé et qu'il n'est pas pris en charge par l'école les mercredis. Une telle répartition permettra également aux parties de bénéficier d'horaires de travail stables. Par conséquent, la garde de l'enfant sera attribuée, la première semaine, à sa mère, du lundi matin, entrée à l'école, au jeudi matin, entrée à l'école, et à son père, du jeudi matin, entrée à l'école, au lundi matin entrée à l'école, et la deuxième semaine, à sa mère du lundi matin, entrée à l'école, au mardi soir, sortie de l'école, et à son père, du mardi soir, sortie de l'école, au vendredi soir, sortie de l'école, la mère reprenant l'enfant dès le vendredi soir, sortie de l'école, au lundi matin, entrée à l'école, pour recommencer la semaine suivante. La mère sera ainsi avec l'enfant tous les lundis et mardis, et le père tous les jeudis et vendredis. Les parents se partageront de manière alternée les mercredis et les week-ends. Les vacances scolaires et les jours fériés seront partagés par moitié. Ces modalités entreront en vigueur le 1er janvier 2021 afin de permettre à l'intimé d'effectuer les démarches nécessaires auprès de son employeur pour la réduction de son taux d'activité. Dès lors qu'il appartiendra à l'intimé de s'acquitter de tous les frais de l'enfant (cf. infra 5.2), le domicile légal de ce dernier sera fixé auprès de son père, étant relevé que le domicile du père se trouve à moins d'un kilomètre de l'école de l'enfant de sorte que ce dernier devrait poursuivre sa scolarité dans le même établissement qu'actuellement.</w:t>
      </w:r>
    </w:p>
    <w:p>
      <w:r>
        <w:t>Par conséquent, l'arrêt de la Cour du 29 août 2019 sera modifié en conséquence.</w:t>
      </w:r>
    </w:p>
    <w:p>
      <w:r>
        <w:rPr>
          <w:b/>
        </w:rPr>
        <w:t>E. 5</w:t>
      </w:r>
    </w:p>
    <w:p>
      <w:r>
        <w:t>Dès lors que les modalités de la garde de l'enfant ont été revues, il y a lieu de procéder à un nouvel examen de la contribution due à l'entretien de l'enfant.</w:t>
      </w:r>
    </w:p>
    <w:p>
      <w:r>
        <w:rPr>
          <w:b/>
        </w:rPr>
        <w:t>E. 5.1.1</w:t>
      </w:r>
    </w:p>
    <w:p>
      <w:r>
        <w:t>Selon l'art. 276 al. 2 CC, auquel renvoie l'art. 176 al. 3 CC,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à la situation et aux ressources de ses père et mère et tenir compte de la fortune et des revenus de l'enfant (art. 285 al. 1 CC). La loi ne prescrit pas de méthode de calcul particulière pour arrêter la contribution d'entretien en faveur de l'enfant. Sa fixation relève de l'appréciation du juge, qui jouit d'un large pouvoir à cet égard et applique les règles du droit et de l'équité (art. 4 CC; ATF 140 III 337 consid. 4.2.2; 134 III 577 consid. 4; 128 III 411 consid. 3.2.2).</w:t>
      </w:r>
    </w:p>
    <w:p>
      <w:r>
        <w:rPr>
          <w:b/>
        </w:rPr>
        <w:t>E. 5.1.2</w:t>
      </w:r>
    </w:p>
    <w:p>
      <w:r>
        <w:t>L'obligation d'entretien trouve sa limite dans la capacité contributive du débirentier, en ce sens que le minimum vital de celui-ci doit être préservé</w:t>
      </w:r>
    </w:p>
    <w:p>
      <w:r>
        <w:t>- 14/20 -</w:t>
      </w:r>
    </w:p>
    <w:p>
      <w:r>
        <w:t>C/4186/2018 (ATF 144 III 502 consid. 6.4 ; 137 III 59 consid. 4.2.1). S'agissant toutefois de l'obligation d'entretien d'un enfant mineur, les exigences à l'égard des père et mère sont plus élevées, en particulier lorsque la situation financière est modeste (ATF 137 III 118 consid. 3.1; arrêt du Tribunal fédéral 5A_946/2018 du 6 mars 2019 consid. 3.1), en sorte que les parents doivent réellement épuiser leur capacité maximale de travail et ne peuvent pas librement choisir de modifier leurs conditions de vie si cela a une influence sur leur capacité à subvenir aux besoins de l'enfant mineur (arrêts du Tribunal fédéral 5A_946/2018 du 6 mars 2019 consid. 3.1; 5A_764/2017 du 7 mars 2018 consid. 3.2; 5A_119/2017 du 30 août 2017 consid. 4.1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(arrêts du Tribunal fédéral 5A_946/2018 du 6 mars 2019 consid. 3.1; 5A_119/2017 précité consid. 4.1 et les références; 5A_120/2014 du 2 septembre 2014 consid. 4.1 et les références). Lorsque le juge entend tenir compte d'un revenu hypothétique, il doit examiner successivement s'il peut être raisonnablement exigé de la personne concernée qu'elle exerce une activité lucrative ou augmente celle-ci, eu égard, notamment, à sa formation, à son âge et à son état de santé et ensuite vérifier si la personne a la possibilité effective d'exercer l'activité ainsi déterminée et quel revenu elle peut en obtenir, compte tenu des circonstances subjectives susmentionnées, ainsi que du marché du travail (ATF 143 III 233 consid. 3.2; 137 III 102 consid. 4.2.2.2; arrêt 5A_717/2019 du 20 avril 2020 consid. 3.2.3). Si le juge entend exiger d'une partie la prise ou la reprise d'une activité lucrative, ou encore l'extension de celle-ci, lui imposant ainsi un changement de ses conditions de vie, il doit généralement lui accorder un délai approprié pour s'adapter à sa nouvelle situation et retrouver un emploi, délai qui doit être fixé en fonction des circonstances concrètes du cas particulier (ATF 129 III 417 consid. 2.2; arrêts du Tribunal fédéral 5A_782/2016 du 31 mai 2017 consid. 5.3; 5A_251/2016 du 15 août 2016 consid. 2.2.1).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5A_978/2018 du 15 avril 2019 consid. 4.1). Ces lignes directrices ne sont toutefois pas des règles strictes et leur application dépend du cas concret;</w:t>
      </w:r>
    </w:p>
    <w:p>
      <w:r>
        <w:t>- 15/20 -</w:t>
      </w:r>
    </w:p>
    <w:p>
      <w:r>
        <w:t>C/4186/2018 le juge du fait en tient compte dans l'exercice de son large pouvoir d'appréciation (ATF 144 III 481 consid. 4.7.9).</w:t>
      </w:r>
    </w:p>
    <w:p>
      <w:r>
        <w:rPr>
          <w:b/>
        </w:rPr>
        <w:t>E. 5.1.3</w:t>
      </w:r>
    </w:p>
    <w:p>
      <w:r>
        <w:t>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Depuis la réforme entrée en vigueur le 1er janvier 2017, l'entretien de l'enfant englobe par ailleurs, à teneur de l'art. 285 al. 2 CC, le coût lié à sa prise en charge directe, lorsque cette prise en charge entraîne, pour le parent qui l'assume de manière prépondérante, une perte ou une restriction à sa capacité de gain. Ainsi, la prise en charge de l'enfant ne donne droit à une contribution que si elle a lieu à un moment où le parent pourrait sinon exercer une activité rémunérée et pour autant que cette prise en charge de l'enfant par le parent soit la cause de la renonciation ou de la réduction de son activité rémunérée (Message concernant la révision du Code civil suisse (Entretien de l'enfant), du 29 novembre 2013, FF 2014 p. 536; ci-après : "Message, p. ..."). Le calcul de la contribution de prise en charge s'effectue selon la méthode dite des frais de subsistance : est déterminant le montant qui, selon les cas, manque à un parent pour couvrir ses propres frais de subsistance, le calcul de ces derniers devant s'effectuer selon les règles du minimum vital (ATF 144 III 377 consid. 7.1.2 et 7.1.4). Il revient toujours au juge d'examiner si, dans le cas d'espèce, le versement d'une contribution de prise en charge se justifie et à combien elle doit se monter (Message, p. 557). La Cour de céans a récemment considéré que lorsqu'un parent ayant poursuivi son activité professionnelle après la naissance d'un enfant perdait son emploi et ne parvenait pas à retrouver du travail, sans que cette circonstance puisse être imputée à la nécessité de disposer de davantage de temps pour s'occuper de l'enfant, aucune contribution de prise en charge n'était due. Dans une telle situation, le lien de causalité entre la prise en charge de l'enfant et le fait que le parent ne parvienne plus à couvrir ses frais de subsistance faisait en effet défaut (ACJC/350/2019 du 27 février 2019 consid. 3.2.1). Il convient de déduire des besoins de chaque enfant crédirentier ses propres allocations familiales (arrêts du Tribunal fédéral 5A_776/2012 du 13 mars 2013 consid. 5.2; 5A_690/2010 du 21 avril 2011 consid. 3, JdT 2012 II 302).</w:t>
      </w:r>
    </w:p>
    <w:p>
      <w:r>
        <w:rPr>
          <w:b/>
        </w:rPr>
        <w:t>E. 5.2</w:t>
      </w:r>
    </w:p>
    <w:p>
      <w:r>
        <w:t>En l'espèce, la capacité de gain des parties et les montants de leurs charges n'ont pas été critiqués devant le Tribunal fédéral et/ou ce dernier a confirmé les montants arrêtés par la Cour dans son précédent arrêt. Par conséquent, il n'y a pas</w:t>
      </w:r>
    </w:p>
    <w:p>
      <w:r>
        <w:t>- 16/20 -</w:t>
      </w:r>
    </w:p>
    <w:p>
      <w:r>
        <w:t>C/4186/2018 lieu de revoir la contribution à l'entretien de l'enfant telle qu'arrêtée dans l'arrêt du 29 août 2019 tant que la garde partagée ne sera pas effective. En revanche, il doit être tenu compte de la réduction du taux d'activité de l'intimé qui ne travaillera plus qu'à 80%. Il doit également être retenu que l'appelante sera en mesure de travailler à 80% puisque l'enfant est scolarisé quatre jours par semaine, fréquente d'ores et déjà le parascolaire les midis et les soirs et qu'il sera pris en charge la moitié du temps par son père. Il y a également lieu de tenir compte dans les charges de l'enfant d'une part du loyer de chacun des parents compte tenu de la garde partagée, étant relevé que le père a toujours gardé l'enfant au moins trois nuits - du vendredi soir au lundi matin - par semaine depuis qu'il a son propre logement. Après la réduction de son taux d'activité, que l'on fixera au 1er janvier 2021 afin de lui permettre d'effectuer les démarches auprès de son employeur, l'intimé réalisera un revenu mensuel net de 6'754 fr. (6'138 fr., soit 80% de 7'673 fr. de salaire + 616 fr. de revenus de ses participations dans une SI). Ses charges s'élèveront, hors impôts, à 2'867 fr. par mois, comprenant 1'350 fr. d'entretien de base selon les normes OP, 1'132 de loyer (80% de 1'415 fr.), 315 fr. de prime d'assurance- maladie de base et 70 fr. d'abonnement TPG. Son solde mensuel sera ainsi de 3'887 fr. (6'754 fr. - 2'867 fr.). Il n'a pas été contesté devant le Tribunal fédéral que l'appelante pourrait travailler avec un revenu de 1'800 fr. net par mois à 50% dès le 1er janvier 2020. Il doit également être retenu que l'appelante sera en mesure de travailler à 80% puisque l'enfant est scolarisé et sa garde partagée. En travaillant à 80%, l'appelante réalisera un salaire mensuel net de l'ordre de 2'880 fr. (1'800 fr. / 50 x 80). Un délai lui sera donné au 1er avril 2021 pour augmenter son taux de travail de 30%. Ses charges, hors impôts, s'élèveront à 4'196 fr. par mois, comprenant 1'350 fr. d'entretien de base selon norme OP, 2'306 fr. de loyer (80% de 2'882 fr. compte tenu de ce qu'elle a la garde de E______), 470 fr. de prime d'assurance-maladie de base et 70 fr. d'abonnement TPG. L'appelante avait été informée dans le premier arrêt de la Cour, rendu il y a plus d'une année, qu'il lui faudrait trouver un logement de quatre pièces à un prix plus abordable. Par conséquent, un délai au 1er avril 2021 lui sera accordé pour trouver un nouveau logement, seul un loyer de 2'000 fr. étant admis depuis cette date. Ses charges seront alors de 3'760 fr. compte tenu d'une charge de loyer de 1'600 fr. (80% de 2'000 fr.). Le déficit mensuel de l'appelante sera ainsi de 2'396 fr. (4'196 fr. - 1'800 fr.) du 1er janvier au 31 mars 2021 et de 880 fr. (3'760 fr. - 2'880 fr.) dès le 1er avril 2021.</w:t>
      </w:r>
    </w:p>
    <w:p>
      <w:r>
        <w:t>Les charges de l'enfant s'élèveront à 1'347 fr. du 1er janvier au 31 mars 2021, comprenant 400 fr. d'entretien de base selon norme OP, 576 fr. de participation au loyer de sa mère (20%), 283 fr. de participation au loyer de son père (20%), 261 fr. de frais de parascolaire, 103 fr. de prime mensuelle d'assurance-maladie de</w:t>
      </w:r>
    </w:p>
    <w:p>
      <w:r>
        <w:t>- 17/20 -</w:t>
      </w:r>
    </w:p>
    <w:p>
      <w:r>
        <w:t>C/4186/2018 base et 24 fr. pour les frais médicaux non remboursés, sous déduction de 300 fr. d'allocations familiales. Elles ne seront plus que de 1'171 fr. dès le 1er avril 2021 compte tenu de la baisse du loyer de sa mère (400 fr. = 20% de 2'000 fr.). La contribution de prise en charge par sa mère, qui ne couvre pas ses charges incompressibles, doit être arrêtée à 1'800 fr. du 1er janvier au 31 mars 2021 et à 720 fr. dès le 1er avril 2021, montants correspondant respectivement à 50% de son revenu hypothétique à plein temps (50% de 3'600 fr.), puis 20% (20% de 3'600 fr.), pourcentages des revenus auxquels elle renonce afin de prendre l'enfant en charge. Le solde du déficit de l'appelante aurait pu être couvert par une contribution d'entretien propre à l'appelante. Celle-ci n'a toutefois pas appelé du jugement l'en déboutant (arrêt du Tribunal fédéral 5A_361/2011 du 7 décembre 2011 consid. 5.3.3). Les besoins de l'enfant seront ainsi de 3'147 fr. (1'347 fr. de frais effectifs + 1'800 fr. de prise en charge) du 1er janvier au 31 mars 2021 et de 1'891 fr. (1'171 fr. + 720 fr.) dès le 1er avril 2021. Dès lors que l'intimé dispose d'un solde mensuel confortable alors que l'appelante n'est pas en mesure de subvenir à son propre entretien il appartiendra à l'intimé d'assumer la totalité des frais de l'enfant même si les parents partageront la garde de celui-ci. L'intimé sera donc condamné à verser à l'appelante, à titre de contribution à l'entretien de l'enfant une somme de 2'576 fr., arrondie à 2'600 fr., permettant à celle-ci de couvrir la moitié des frais d'entretien de base de l'enfant (200 fr.), la part de l'enfant à son loyer (576 fr.) et la contribution de prise en charge de l'enfant (1'800 fr.) et de 1'320 fr. (200 fr. + 400 fr. + 720 fr.), arrondie à 1'350 fr., dès le 1er avril 2021. L'intimé assumera pour le surplus le solde des frais de l'enfant de sorte que les allocations familiales lui seront acquises. L'arrêt de la Cour du 29 août 2019 sera donc modifié en ce sens. Après paiement des charges de l'enfant, l'intimé bénéficiera encore d'un solde mensuel (740 fr. = 3'887 fr. - 3'147 fr. de janvier à mars 2021 puis de1'997 fr. = 3'887 fr. - 1891 fr. dès le 1er avril 2021) qui lui permettra de s'acquitter de ses acomptes d'impôts estimés à 200 fr. par mois, selon la calculatrice fiscale de l'Etat de Genève, compte tenu du salaire perçu et de ses revenus immobiliers et déduction faite des primes d'assurance-maladie pour lui-même et l'enfant, des frais de garde et de la contribution à l'entretien de l'enfant versée à l'appelante.</w:t>
      </w:r>
    </w:p>
    <w:p>
      <w:r>
        <w:rPr>
          <w:b/>
        </w:rPr>
        <w:t>E. 6</w:t>
      </w:r>
    </w:p>
    <w:p>
      <w:r>
        <w:t>Il ne se justifie pas de revenir sur le montant et la répartition des frais judiciaires et des dépens d'appel, le Tribunal fédéral n'ayant pas invité la Cour à se prononcer à nouveau sur ces points, lesquels sont devenus définitifs et exécutoires. La nature et l'issue du litige ne justifie d'ailleurs pas qu'il soit procédé à un partage différent des frais de la procédure (art. 95 al. 1 let. b et al. 3, 104 al. 1, 105 al. 2 et 107 al. 1 let. c CPC).</w:t>
      </w:r>
    </w:p>
    <w:p>
      <w:r>
        <w:t>- 18/20 -</w:t>
      </w:r>
    </w:p>
    <w:p>
      <w:r>
        <w:t>C/4186/2018 Par ailleurs, il sera renoncé à percevoir un émolument de décision dans le cadre de la présente procédure de renvoi devant la Cour, dès lors qu'elle a été rendue nécessaire par l'annulation partielle de son précédent arrêt par le Tribunal fédéral. Pour le surplus, il n'y a pas lieu à l'octroi de dépens en lien avec ladite procédure de renvoi, étant relevé que l'appelante ne s'est exprimée que par une écriture de quatre pages et que l'intimé comparait en personne. * * * * *</w:t>
      </w:r>
    </w:p>
    <w:p>
      <w:r>
        <w:t>- 19/20 -</w:t>
      </w:r>
    </w:p>
    <w:p>
      <w:r>
        <w:t>C/4186/2018 PAR CES MOTIFS, La Chambre civile : Statuant sur renvoi du Tribunal fédéral : Instaure, dès le 1er janvier 2021, une garde alternée sur l'enfant E______ selon les modalités suivantes, à défaut d'accord contraire entre les parents, la première semaine, chez sa mère du lundi matin, entrée à l'école, au jeudi matin, entrée à l'école, et chez son père, du jeudi matin, entrée à l'école, au lundi matin, entrée à l'école, et la deuxième semaine, chez sa mère du lundi matin, entrée à l'école, au mardi soir, sortie de l'école, et chez son père, du mardi soir, sortie de l'école, au vendredi soir, sortie de l'école, la mère reprenant l'enfant dès le vendredi soir, sortie de l'école, au lundi matin, entrée à l'école, pour recommencer la semaine suivante; la moitié des vacances scolaires et des jours fériés sera attribuée à chacun des parents. Dit que le domicile légal de l'enfant est fixé auprès de B______. Condamne B______ à verser en mains de A______, par mois et d'avance, la somme de 2'600 fr. du 1er janvier au 31 mars 2021 et de 1'350 fr. dès le 1er avril 2021, à titre de contribution à l'entretien de l'enfant E______. Dit que les allocations familiales resteront acquises à B______. Dit qu'il n'y a pas lieu à perception de frais judiciaires, ni à fixation de dépens pour la procédure postérieure à l'arrêt de renvoi du Tribunal fédéral. Confirme l'arrêt ACJC/477/2018 du 29 août 2019 pour le surplus. Déboute les parties de toutes autres conclusions. Siégeant : Monsieur Cédric-Laurent MICHEL, président; Madame Pauline ERARD et Madame Paola CAMPOMAGNANI, juges; Madame Christel HENZELIN, greffière. Le président : Cédric-Laurent MICHEL</w:t>
      </w:r>
    </w:p>
    <w:p>
      <w:r>
        <w:t>La greffière : Christel HENZELIN</w:t>
      </w:r>
    </w:p>
    <w:p>
      <w:r>
        <w:t>- 20/20 -</w:t>
      </w:r>
    </w:p>
    <w:p>
      <w:r>
        <w:t>C/4186/2018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