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ACJC/1247/2019 vom 9. April 2019</w:t>
      </w:r>
    </w:p>
    <w:p>
      <w:r>
        <w:t>GE Cour de justice, 2019-04-09, FR</w:t>
      </w:r>
    </w:p>
    <w:p>
      <w:r>
        <w:rPr>
          <w:b/>
        </w:rPr>
        <w:t xml:space="preserve">Quelle: </w:t>
      </w:r>
      <w:r>
        <w:t>https://mcp.opencaselaw.ch/entscheid/ge_gerichte_ACJC_1247_2019</w:t>
      </w:r>
    </w:p>
    <w:p>
      <w:r>
        <w:t>FR: GE_GERICHTE ACJC/1247/2019 du 9 avril 2019</w:t>
      </w:r>
    </w:p>
    <w:p>
      <w:r>
        <w:t>IT: GE_GERICHTE ACJC/1247/2019 del 9 aprile 2019</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formé en temps utile et selon la forme (art. 130 al. 1, 311 al. 1 et 314 al. 1 CPC) prescrite par la loi, dans une cause de nature pécuniaire portant sur des contributions d'entretien qui, capitalisées selon l'art. 92 al. 2 CPC, sont supérieures à 10'000 fr., de sorte qu'il est recevable.</w:t>
      </w:r>
    </w:p>
    <w:p>
      <w:r>
        <w:rPr>
          <w:b/>
        </w:rPr>
        <w:t>E. 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w:t>
      </w:r>
    </w:p>
    <w:p>
      <w:r>
        <w:t>- 6/13 -</w:t>
      </w:r>
    </w:p>
    <w:p>
      <w:r>
        <w:t>C/5744/2018 peuvent présenter des nova en appel même si les conditions de l'art. 317 al. 1 CPC ne sont pas réunies (ATF 144 III 349 consid. 4.2.1). En l’espèce, les pièces nouvelles produites par l’appelant, susceptibles d'influencer la fixation des contributions à l'entretien de l'enfant, sont ainsi recevables, comme les faits visés par lesdites pièces.</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 La contribution d'entretien due par un conjoint à l'autre dans le cadre de mesures protectrices de l'union conjugale est soumise au principe de disposition (art. 58 al. 1 CPC). La contribution due à l'entretien d'un enfant est, quant à elle, soumise à la maxime d'office (art. 296 al. 3 CPC), ce qui a pour conséquence que le juge n'est pas lié par les conclusions des parents.</w:t>
      </w:r>
    </w:p>
    <w:p>
      <w:r>
        <w:rPr>
          <w:b/>
        </w:rPr>
        <w:t>E. 2</w:t>
      </w:r>
    </w:p>
    <w:p>
      <w:r>
        <w:t>L'appelant conteste les revenus et charges des parties ainsi que les frais de l'enfant pris en compte par le Tribunal. Il soutient notamment qu'il souffre de problèmes de santé qui l'empêchent de poursuivre l'activité exercée jusqu'alors et qu'il a un nouvel emploi dès le 1er mai 2019 pour lequel il percevra un revenu mensuel net de 3'965 fr. 20, treizième salaire compris. Après paiement de ses charges d'un montant de 3'542 fr. 25, son disponible de 414 fr. ne lui permettra pas de s'acquitter des contributions d'entretien fixées par le Tribunal. Il évalue par ailleurs les charges de l'enfant à 882 fr. après déduction des allocations familiales.</w:t>
      </w:r>
    </w:p>
    <w:p>
      <w:r>
        <w:rPr>
          <w:b/>
        </w:rPr>
        <w:t>E. 2.1.1</w:t>
      </w:r>
    </w:p>
    <w:p>
      <w:r>
        <w:t>Le montant de la contribution d'entretien due entre conjoints selon l'art. 176 al. 1 ch. 1 CC se détermine en fonction des facultés économiques et des besoins respectifs des époux. Le législateur n'a pas arrêté de mode de calcul à cette fin. L'une des méthodes préconisées par la doctrine est celle dite du minimum vital avec répartition de l'excédent. Cette méthode est considérée comme conforme au droit fédéral, en cas de situation financière moyenne et tant que dure le mariage (arrêt du Tribunal fédéral 5A_287/2012 du 14 août 2012 consid. 3.2.3), pour</w:t>
      </w:r>
    </w:p>
    <w:p>
      <w:r>
        <w:t>- 7/13 -</w:t>
      </w:r>
    </w:p>
    <w:p>
      <w:r>
        <w:t>C/5744/2018 autant qu'elle n'ait pas pour effet de faire bénéficier l'intéressé d'un niveau de vie supérieur à celui mené durant la vie commune (arrêts du Tribunal fédéral 5A_973/2013 du 9 mai 2014 consid. 6.3.2; 5A_56/2011 du 25 août 2011 consid. 3.4.2).</w:t>
      </w:r>
    </w:p>
    <w:p>
      <w:r>
        <w:rPr>
          <w:b/>
        </w:rPr>
        <w:t>E. 2.1.2</w:t>
      </w:r>
    </w:p>
    <w:p>
      <w:r>
        <w:t>En tant que des enfants mineurs sont concernés, le juge ordonne les mesures nécessaires d'après les dispositions sur les effets de la filiation (art. 176 al. 3 CC). Selon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(arrêt du Tribunal fédéral 5A_11/2014 du 3 juillet 2014 consid. 4.3.1.1 in fine). Selon l'art. 285 al. 2 CC, la contribution d'entretien sert aussi à garantir la prise en charge de l'enfant.</w:t>
      </w:r>
    </w:p>
    <w:p>
      <w:r>
        <w:rPr>
          <w:b/>
        </w:rPr>
        <w:t>E. 2.1.3</w:t>
      </w:r>
    </w:p>
    <w:p>
      <w:r>
        <w:t>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(arrêt du Tribunal fédéral 5A_224/2016 du 13 juin 2016 consid. 3.3 et les arrêts cités).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(arrêt du Tribunal fédéral 5A_782/2016 du 31 mai 2017 consid. 5.3 in fine).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arrêt du Tribunal fédéral 5A_154/2016 du 19 mai 2016 consid. 5.1 et la jurisprudence citée).</w:t>
      </w:r>
    </w:p>
    <w:p>
      <w:r>
        <w:t>- 8/13 -</w:t>
      </w:r>
    </w:p>
    <w:p>
      <w:r>
        <w:t>C/5744/2018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5A_372/2016 du 18 novembre 2016 consid. 3.1; 5A_453/2015 du 4 novembre 2015 consid. 2.1; 5A_318/2014 du 2 octobre 2014 consid. 3.1.3.2; 5A_612/2011 du 27 février 2012 consid. 2.1; 5A_317/2011 du 22 novembre 2011 consid. 6, non publié aux ATF 137 III 614; 5A_341/2011 du 20 septembre 2011 consid. 2.5.1; cf. pour un cas relevant de l'abus de droit : ATF 143 III 233).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peut être attendu d'un parent qu'il exerce une activité lucrative, en principe, à 50% dès l'entrée à l'école obligatoire de l'enfant dont il a la garde, et à 80% à partir du moment où celui-ci débute le degré secondaire (ATF 144 III 481 consid. 4.7.6; arrêts 5A_968/2017 du 25 septembre 2018 consid. 3.1.2; 5A_931/2017 du 1er novembre 2018 consid. 3.1.2).</w:t>
      </w:r>
    </w:p>
    <w:p>
      <w:r>
        <w:rPr>
          <w:b/>
        </w:rPr>
        <w:t>E. 2.2</w:t>
      </w:r>
    </w:p>
    <w:p>
      <w:r>
        <w:t>L'appelant a exposé devant la Cour qu'il a été en incapacité de travail depuis le 30 novembre 2018 en raison d'un accident, qu'il souffre notamment d'une hernie discale et a produit à cet égard des certificats médicaux attestant que sa capacité de travail a été nulle du 30 novembre 2018 au 1er mai 2019. L'appelant a également produit, postérieurement au dépôt de son appel, un certificat médical du 8 mai 2019 indiquant qu'il n'est plus apte à exercer son activité de ______ avec de gros ports de charges. L'appelant avait cependant déclaré lors de l'audience devant le Tribunal du 27 février 2019 – soit à une date postérieure à celle à partir de laquelle sa capacité de travail est nulle à teneur des certificats médicaux nouvellement produits – qu'il travaillait à 100% comme ______, sans faire état d'un quelconque problème de santé l'empêchant de travailler ou le limitant dans l'exercice de son activité. Il doit donc être admis que ses problèmes de santé allégués ne constituaient pas un obstacle à l'exercice de l'activité alors exercée. Il ressort par ailleurs du courrier du 15 avril 2019 de la SUVA produit par l'appelant devant la Cour que les conséquences de l'accident du 30 novembre 2018 sont "éteintes", de sorte que celles-ci ne sont de toute manière plus de nature à réduire sa capacité de travail. Le certificat médical du 8 mai 2019 fait quant à lui uniquement référence à l'impossibilité de pratiquer – à cause de "problèmes de santé" de l'appelant, sans autre précision – un travail de ______ avec gros ports de charges. Même à</w:t>
      </w:r>
    </w:p>
    <w:p>
      <w:r>
        <w:t>- 9/13 -</w:t>
      </w:r>
    </w:p>
    <w:p>
      <w:r>
        <w:t>C/5744/2018 admettre qu'un tel certificat est apte à rendre vraisemblables lesdits problèmes et leurs conséquences, il n'a pas été allégué, ni même rendu vraisemblable, que l'emploi occupé par l'appelant nécessitait de "gros ports de charges". Il doit donc être admis que l'appelant, quand bien même il a souffert des problèmes de santé allégués, voire même souffrirait encore de ceux-ci, est apte à exercer une activité identique ou similaire à celle qu'il a déclaré exercer lors de l'audience du 27 février 2019. Un revenu hypothétique d'un montant équivalent au salaire de 5'308 fr. par mois perçu en dernier lieu, après le début de ses problèmes de santé allégués, sera donc imputé à l'appelant dans la mesure où lesdits problèmes n'expliquent pas son changement d'activité et que l'appelant doit épuiser sa capacité maximale de travail. Pour le surplus, le montant de 5'308 fr. pour la période antérieure au 1er mai 2019, date à laquelle l'appelant a changé d'emploi, n'est pas contesté. Le montant articulé de 3'956 fr. par mois pour l'activité désormais exercée paraît, en tout état de cause, peu élevé au vu de statistiques. En effet, l'appelant expose exercer une nouvelle activité de chef d'équipe, dans une entreprise active dans les domaines de ______. Or, le salaire médian, à Genève, dans la construction, pour un employé sans formation professionnelle complète et sans fonction de cadre, pour des métiers qualifiés dans le bâtiment et assimilés, est de 5'500 fr. selon le calculateur de salaire en ligne du Secrétariat d'Etat à l'économie, de sorte que pour ce motif également le montant de 5'308 fr. imputé est adéquat, au vu de l'activité actuelle de l'appelant. Pour le surplus, l'appelant ne conteste pas les charges qui ont été retenues par le Tribunal, d'un montant total de 3'542 fr. Son disponible est donc de 1'766 fr. Quant à l'intimée, il n'est pas contesté qu'elle perçoit un salaire mensuel net de 3'300 fr. Ses charges mensuelles peuvent par ailleurs être estimées à 3'233 fr. et sont composées de son minimum vital (1'350 fr.), de son loyer (1'412 fr. [80% de 1'765 fr.], selon bail produit devant la Cour) et de sa prime LAMal (471 fr.). Il ne se justifie pas, en revanche, d'intégrer un montant de 36 fr. 65 à titre de prime d’assurance-ménage dans le cadre d'un calcul du strict minimum vital. C'est en outre sans violer le droit que le Tribunal n'a pas tenu compte des impôts, au vu de la situation financière des parties (ATF 140 III 337 consid. 4.2.3 et 4.4; arrêt du Tribunal fédéral 5A_461/2017 du 25 juillet 2017 consid. 4.3.1). L'intimée dispose donc d'un solde de 67 fr. Concernant l'enfant, ses charges peuvent être évaluées à 918 fr., après déduction des allocations familiales (montant de base LP : 400 fr., participation au loyer : 353 fr. (20% de 1'765 fr.), assurance-maladie : 118 fr. 55; crèche : 347 fr., selon la facture produite devant la Cour). Il n'y a pas lieu de retenir un montant inférieur à titre de frais de garde, correspondant à 75% des frais retenus par le Tribunal, dans la mesure où, même si l'intimée travaille à 75%, elle a indiqué avoir des horaires</w:t>
      </w:r>
    </w:p>
    <w:p>
      <w:r>
        <w:t>- 10/13 -</w:t>
      </w:r>
    </w:p>
    <w:p>
      <w:r>
        <w:t>C/5744/2018 irréguliers, lesquels nécessitent vraisemblablement qu'elle dispose d'une place en crèche à 100%. L'intimée n'explique en revanche pas pourquoi elle aurait besoin, en sus, d'une nounou; elle n'a d'ailleurs produit aucune attestation récente d'un paiement à une nounou. Il sera par ailleurs relevé que l'intimée avait invoqué devant le Tribunal des frais de crèche de 81 fr. et de nounou de 309 fr. alors que, devant la Cour, le montant de 81 fr. invoqué se rapporte désormais aux frais de nounou et ceux de 347 fr. aux frais de crèche, sans autre explication à cet égard. En tout état de cause, l'intimée allègue que les frais de l'enfant s'élèvent à 911 fr., après déduction des allocations familiales, soit un montant similaire à celui retenu.</w:t>
      </w:r>
    </w:p>
    <w:p>
      <w:r>
        <w:rPr>
          <w:b/>
        </w:rPr>
        <w:t>E. 2.3</w:t>
      </w:r>
    </w:p>
    <w:p>
      <w:r>
        <w:t>Au vu de ce qui précède, le montant de 980 fr. que l'appelant a été condamné à payer est supérieur aux charges de l'enfant et représente une différence suffisante en l'espèce, au vu de la situation financière des parties et de l'appelant en particulier, pour que le jugement attaqué soit modifié. Pour sa part, l'intimée, qui estime les charges de l'enfant à 911 fr., n'explique pas pour quel motif le montant de 980 fr. alloué par le Tribunal devrait être confirmé. Le ch. 5 du dispositif du jugement attaqué sera dès lors annulé et l'appelant condamné à verser un montant de 920 fr. à titre de contribution à l'entretien de l'enfant, étant précisé qu'il n'est pas nécessaire d'inclure une contribution de prise en charge puisque l'intimée est à même de couvrir ses propres charges. Dans la mesure où les frais de l'enfant sont couverts par la contribution d'entretien, point n'est par ailleurs besoin de dire dans le dispositif, en application de l'art. 301a let. c CPC, quel est le montant de l’entretien convenable de l’enfant, de sorte que le ch. 4 du dispositif du jugement attaqué sera également annulé. Concernant la contribution d'entretien en faveur de l'intimée, l'appelant conserve, après paiement de la contribution d'entretien en faveur de l'enfant, un solde de 846 fr. (5'308 fr – 3'542 fr. – 920 fr.). Celui-ci doit être réparti entre les époux en application de la méthode du minimum vital et permet à l'intimée de bénéficier à titre de contribution d'entretien d'un montant qui s'élève, à tout le moins, à la somme de 370 fr. fixée par le Tribunal et non contestée par elle. L'appel n'est donc pas fondé en tant qu'il tend à ce qu'il soit dit que l'appelant ne doit verser aucune contribution à l'entretien de l'intimée.</w:t>
      </w:r>
    </w:p>
    <w:p>
      <w:r>
        <w:rPr>
          <w:b/>
        </w:rPr>
        <w:t>E. 3</w:t>
      </w:r>
    </w:p>
    <w:p>
      <w:r>
        <w:t>L'appelant conclut à l'annulation du ch. 8 du dispositif du jugement qui attribue à l'intimée le domicile conjugal sis au D______. Il invoque que celle-ci a déménagé en cours de procédure, de sorte qu'il ne pouvait lui être attribué. L'intimée admet avoir déménagé et a produit à cet égard un contrat de bail pour un appartement sis à E______ qui a pris effet le 1er janvier 2019.</w:t>
      </w:r>
    </w:p>
    <w:p>
      <w:r>
        <w:t>Dans la mesure où l'intimée n'habitait plus dans le domicile conjugal situé au D______ à la date du jugement, celui-ci ne pouvait lui être attribué.</w:t>
      </w:r>
    </w:p>
    <w:p>
      <w:r>
        <w:t>Le ch. 8 du dispositif du jugement attaqué sera donc annulé.</w:t>
      </w:r>
    </w:p>
    <w:p>
      <w:r>
        <w:t>- 11/13 -</w:t>
      </w:r>
    </w:p>
    <w:p>
      <w:r>
        <w:t>C/5744/2018</w:t>
      </w:r>
    </w:p>
    <w:p>
      <w:r>
        <w:rPr>
          <w:b/>
        </w:rPr>
        <w:t>E. 4</w:t>
      </w:r>
    </w:p>
    <w:p>
      <w:r>
        <w:t>Les frais judiciaires d'appel seront arrêtés à 800 fr. (art. 31 et 35 RTFMC). Compte tenu de l'issue du litige et de sa nature familiale (art. 106 al. 2 et 107 al. 1 let. c CPC), lesdits frais seront mis à la charge de chacune des parties pour moitié. Toutes deux ayant été mises au bénéfice de l’assistance judiciaire, ces frais seront toutefois provisoirement laissés à la charge de l’Etat de Genève, qui pourra leur en demander le remboursement aux conditions de l’art. 123 al.1 CPC. Chaque partie supportera ses propres dépens d'appel. * * * * *</w:t>
      </w:r>
    </w:p>
    <w:p>
      <w:r>
        <w:t>- 12/13 -</w:t>
      </w:r>
    </w:p>
    <w:p>
      <w:r>
        <w:t>C/5744/2018 PAR CES MOTIFS, La Chambre civile : A la forme : Déclare recevable l'appel interjeté par A______ contre le jugement JTPI/5379/2019 rendu le 9 avril 2019 par le Tribunal de première instance dans la cause C/5744/2018-8. Au fond : Annule les ch. 4, 5 et 8 du dispositif de ce jugement. Cela fait, statuant à nouveau : Condamne A______ à verser en mains de B______, par mois et d'avance, allocations familiales ou d'études non comprises, à titre de contribution à l'entretien de l'enfant C______, la somme de 920 fr. par mois, à compter du mois de mars 2018, sous déduction des sommes payées par A______. Confirme ce jugement pour le surplus. Déboute les parties de toutes autres conclusions. Sur les frais : Arrête les frais judiciaires de l'appel à 800 fr. les met à la charge des parties pour moitié chacune et les laisse provisoirement à la charge de l’Etat de Genève. Dit que chaque partie supporte ses propres dépens. Siégeant : Monsieur Laurent RIEBEN, président; Monsieur Patrick CHENAUX, Madame Fabienne GEISINGER-MARIETHOZ, juges; Madame Sophie MARTINEZ, greffière.</w:t>
      </w:r>
    </w:p>
    <w:p>
      <w:r>
        <w:t>La présidente ad interim : Pauline ERARD</w:t>
      </w:r>
    </w:p>
    <w:p>
      <w:r>
        <w:t>La greffière : Christel HENZELIN</w:t>
      </w:r>
    </w:p>
    <w:p>
      <w:r>
        <w:t>- 13/13 -</w:t>
      </w:r>
    </w:p>
    <w:p>
      <w:r>
        <w:t>C/5744/2018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