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ACJC/1246/2019 vom 25. Januar 2019</w:t>
      </w:r>
    </w:p>
    <w:p>
      <w:r>
        <w:t>GE Cour de justice, 2019-01-25, FR</w:t>
      </w:r>
    </w:p>
    <w:p>
      <w:r>
        <w:rPr>
          <w:b/>
        </w:rPr>
        <w:t xml:space="preserve">Quelle: </w:t>
      </w:r>
      <w:r>
        <w:t>https://mcp.opencaselaw.ch/entscheid/ge_gerichte_ACJC_1246_2019</w:t>
      </w:r>
    </w:p>
    <w:p>
      <w:r>
        <w:t>FR: GE_GERICHTE ACJC/1246/2019 du 25 janvier 2019</w:t>
      </w:r>
    </w:p>
    <w:p>
      <w:r>
        <w:t>IT: GE_GERICHTE ACJC/1246/2019 del 25 gennaio 2019</w:t>
      </w:r>
    </w:p>
    <w:p>
      <w:pPr>
        <w:pStyle w:val="Heading2"/>
      </w:pPr>
      <w:r>
        <w:t>Erwägungen</w:t>
      </w:r>
    </w:p>
    <w:p>
      <w:r>
        <w:rPr>
          <w:b/>
        </w:rPr>
        <w:t>E. 1</w:t>
      </w:r>
    </w:p>
    <w:p>
      <w:r>
        <w:t>Interjeté dans le délai et la forme prescrits par la loi, dans une affaire patrimoniale dont la valeur litigieuse est inférieure à 10'000 fr. (art. 308 al. 2 CPC), le recours est recevable (art. 321 al. 1 CPC).</w:t>
      </w:r>
    </w:p>
    <w:p>
      <w:r>
        <w:rPr>
          <w:b/>
        </w:rPr>
        <w:t>E. 2</w:t>
      </w:r>
    </w:p>
    <w:p>
      <w:r>
        <w:t>Le recourant invoque une constatation manifestement inexacte des faits et soutient que l'état de fait du Tribunal devrait être complété.</w:t>
      </w:r>
    </w:p>
    <w:p>
      <w:r>
        <w:rPr>
          <w:b/>
        </w:rPr>
        <w:t>E. 2.1</w:t>
      </w:r>
    </w:p>
    <w:p>
      <w:r>
        <w:t>Dans le cadre d'un recours, le pouvoir d'examen de la Cour est limité à la violation du droit et à la constatation manifestement inexacte des faits</w:t>
      </w:r>
    </w:p>
    <w:p>
      <w:r>
        <w:t>- 6/11 -</w:t>
      </w:r>
    </w:p>
    <w:p>
      <w:r>
        <w:t>C/21527/2017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w:t>
      </w:r>
    </w:p>
    <w:p>
      <w:r>
        <w:rPr>
          <w:b/>
        </w:rPr>
        <w:t>E. 2.2</w:t>
      </w:r>
    </w:p>
    <w:p>
      <w:r>
        <w:t>En l'espèce, le recourant indique d'abord se référer aux faits retenus par le Tribunal, sous réserve de certaines "précisions", sans soutenir que les faits auraient été arbitrairement constatés sur ces points et que les faits retenus par le Tribunal devraient être complétés. Le recourant indique ensuite que le jugement devrait être complété à divers égards. Il n'explique cependant d'aucune manière en quoi le Tribunal aurait arbitrairement établi les faits en ne retenant pas ceux qu'il mentionne ou en quoi les allégations qu'il aurait formulées devant le Tribunal et qui auraient été omises par ce dernier seraient pertinent. En tout état de cause, les précisions apportées par le recourant ou les points sur lesquels il voudrait que soit complété le jugement attaqué ne sont pas déterminants pour l'issue du litige. La Cour se fondera donc, en définitive, sur les faits tels qu'ils ont été retenus par le Tribunal.</w:t>
      </w:r>
    </w:p>
    <w:p>
      <w:r>
        <w:rPr>
          <w:b/>
        </w:rPr>
        <w:t>E. 3</w:t>
      </w:r>
    </w:p>
    <w:p>
      <w:r>
        <w:t>Les parties sont liées par un contrat qui doit être qualifié de crédit en compte courant. Le contrat de compte courant est le rapport juridique entre deux parties en rapport d'affaires durables qui conviennent de porter en compte leurs dettes et leurs créances, exigibles et réciproques, ayant pour objet le paiement de sommes d'argent exprimées en une même monnaie pour les compenser à des échéances fixes (LOMBARDINI, Droit bancaire suisse, 2008, p. 411, n. 2; arrêt du Tribunal fédéral 4A_127/2010 du 7 février 2011, consid. 5). Il s'agit d'un contrat innommé. En décidant de procéder par le biais d'un compte courant, les parties conviennent d'un mécanisme futur d'extinction des créances. Ces créances n'ont plus d'existence individuelle. Elles ne peuvent plus servir à une affectation spécifique (LOMBARDINI, op. cit., p. 415, n. 20).</w:t>
      </w:r>
    </w:p>
    <w:p>
      <w:r>
        <w:rPr>
          <w:b/>
        </w:rPr>
        <w:t>E. 4</w:t>
      </w:r>
    </w:p>
    <w:p>
      <w:r>
        <w:t>Le recourant invoque à l'appui de son recours une violation des art. 92 al. 1 ch. 9 LP, 10 LAFam et 265 LP, ainsi que 125 ch. 2 CO.</w:t>
      </w:r>
    </w:p>
    <w:p>
      <w:r>
        <w:rPr>
          <w:b/>
        </w:rPr>
        <w:t>E. 4.1.1</w:t>
      </w:r>
    </w:p>
    <w:p>
      <w:r>
        <w:t>L'art. 10 de la loi fédérale sur les allocations familiales (LAFam – RS 836.2)</w:t>
      </w:r>
    </w:p>
    <w:p>
      <w:r>
        <w:t>- 7/11 -</w:t>
      </w:r>
    </w:p>
    <w:p>
      <w:r>
        <w:t>C/21527/2017 prévoit que les allocations familiales sont insaisissables, à savoir qu'elles sont soustraites à l'exécution forcée (Rapport complémentaire de la Commission de la sécurité sociale et de la santé publique du Conseil national du 8 septembre 2004, FF 2004 p. 6559, 6479). La loi cantonale genevoise du 1er mars 1996 sur les allocations familiales (LAF; RS/GE J 5 10) est régie notamment par la loi fédérale (cf. art. 2B let. a LAF). L'art. 89 LP dispose que lorsque le débiteur est sujet à la poursuite par voie de saisie, l'office, après réception de la réquisition de continuer la poursuite, procède sans retard à la saisie ou y fait procéder par l'office du lieu où se trouvent les biens à saisir. Sont cependant insaisissables divers biens (art. 92 LP), telles, notamment, les prestations des caisses de compensation pour allocations familiales (art. 92 ch. 9a LP). Les allocations familiales qui sont fondées sur la loi fédérale sur les allocations familiales sont visées par cette disposition (WINKLER, in Kommentar zum Bundesgetz über Schuldbetribung un Konkurs, Kren Kostkieicz et Vock, éd., 3ème éd., 2017, n. 62 ad art. 92 LP).</w:t>
      </w:r>
    </w:p>
    <w:p>
      <w:r>
        <w:rPr>
          <w:b/>
        </w:rPr>
        <w:t>E. 4.1.2</w:t>
      </w:r>
    </w:p>
    <w:p>
      <w:r>
        <w:t>L'art. 265 LP prévoit qu'en procédant à la distribution, l'administration remet à chaque créancier qui n'a pas été payé intégralement, un acte de défaut de biens pour le montant impayé. L'acte mentionne si le failli a reconnu ou contesté la créance. Dans le premier cas, il vaut comme reconnaissance de dette dans le sens de l'art. 82 LP (al. 1); l'acte de défaut de biens permet de requérir le séquestre et il produit les effets juridiques mentionnés aux art. 149, al. 4, et 149a LP. Toutefois une nouvelle poursuite ne peut être requise sur la base de cet acte que si le débiteur revient à meilleure fortune (al. 2). L'exception de non-retour à meilleure fortune peut également être invoquée par le failli hors procédure de poursuite, lorsqu'il fait valoir lui-même une créance et qu'il se voit opposer en compensation une créance reposant sur un acte de défaut de biens (ATF 133 III 620; dans le même sens : Obergericht de Zurich, 11 mars 2006, RSJ 103 (2007), p. 155).</w:t>
      </w:r>
    </w:p>
    <w:p>
      <w:r>
        <w:rPr>
          <w:b/>
        </w:rPr>
        <w:t>E. 4.1.3</w:t>
      </w:r>
    </w:p>
    <w:p>
      <w:r>
        <w:t>Selon l'art. 125 ch. 2 CO, ne peuvent être éteintes par compensation contre la volonté du créancier les créances dont la nature spéciale exige le paiement effectif entre les mains du créancier, telles que des aliments et le salaire absolument nécessaires à l'entretien du débiteur et de sa famille. Les aliments insaisissables selon l'art. 92 al. 1 ch. 7-9a ne peuvent être compensés (PETER, in Basler Kommentar, 6ème éd., 2015, n. 9 ad art. 125 CO).</w:t>
      </w:r>
    </w:p>
    <w:p>
      <w:r>
        <w:rPr>
          <w:b/>
        </w:rPr>
        <w:t>E. 4.2</w:t>
      </w:r>
    </w:p>
    <w:p>
      <w:r>
        <w:t>En l'espèce, le recourant invoque une violation des art. 92 LP et 10 LAFam, qui énoncent les biens insaisissables, notamment les allocations familiales. Ces dispositions s'appliquent cependant dans le cadre d'une procédure de poursuite au sens de la loi sur la poursuite pour dettes et la faillite. Elles ne sont en revanche</w:t>
      </w:r>
    </w:p>
    <w:p>
      <w:r>
        <w:t>- 8/11 -</w:t>
      </w:r>
    </w:p>
    <w:p>
      <w:r>
        <w:t>C/21527/2017 pas applicables à l'intimée, qui n'a procédé à aucune "saisie" au sens de la LP et n'a pas agi dans le cadre d'une exécution forcée. Quant à la question de l'exception du non-retour à meilleure fortune, si elle peut, le cas échéant, être soulevée en dehors d'une procédure de poursuite, le recourant ne l'a, en tout état de cause, pas invoquée à réception des courriers de la banque l'informant du fait qu'elle avait procédé à une compensation en application de ses conditions générales, des avis de débits de son compte ou des bouclements de comptes annuels, ces derniers devant être considérés comme acceptés en l'absence de contestation dans le délai prévu à cet effet par les conditions générales de la banque. A cet égard, le recourant soutient que les conditions générales de 1989 ne seraient "plus d'actualité", sans indiquer pourquoi, ni quelles seraient les conditions générales désormais applicables, ni en quoi elles différeraient de celles de 1989 sur les points pertinents en l'espèce, étant relevé qu'une disposition dans des conditions générales bancaires selon laquelle un relevé de compte est considéré comme accepté s'il n'est pas contesté dans un certain délai est usuelle. Le fait que le recourant avait une situation "obérée" dans les années 2013 à 2015, ne signifie par ailleurs pas encore que les compensations opérées par l'intimée n'étaient "pas légales", au motif qu'elles entamaient son minimum vital, comme l'affirme le recourant. Aucun élément ne permet en outre de considérer que les documents envoyés à l'adresse privée du recourant n'auraient pas été reçus par celui-ci. Le recourant a déclaré qu'à l'époque des faits, il était «harcelé» par de multiples créanciers et jetait son courrier reçu à son adresse privée sans l’ouvrir, de sorte que son absence de protestation aux courriers de la banque l'informant des compensations effectuées ne permet pas, en elle-même, d'en déduire qu'il n'aurait pas été informé de celles-ci, comme l'affirme le recourant. Les avis de crédit et débit ainsi que les relevés de compte ont en outre été envoyés à l'adresse figurant dans les documents d'ouverture de compte, que le recourant n'a pas demandé à la banque de modifier à la suite de sa faillite, de sorte que leur communication a été effectuée en conformité avec l'art. 3 des conditions générales. Le recourant soutient que le Tribunal ne pouvait pas retenir que les avis de crédit et débit ainsi que les relevés de compte ont été envoyés à l'adresse indiquée dans le document d'ouverture du compte sur lequel les compensations ont été effectuées puisque ce document ne figurait pas à la procédure. Il n'indique toutefois pas quelle serait l'adresse qui y serait indiquée et ne démontre ainsi pas que la constatation du Tribunal à cet égard serait arbitraire. Il sera relevé, en tout état de cause, que les documents produits indiquent que le compte sur lequel des prélèvements ont été effectués à titre de compensation est "en liaison" avec celui qui fait l'objet de ladite documentation, de sorte que le Tribunal pouvait retenir sans arbitraire que cette documentation était également applicable au compte litigieux.</w:t>
      </w:r>
    </w:p>
    <w:p>
      <w:r>
        <w:t>- 9/11 -</w:t>
      </w:r>
    </w:p>
    <w:p>
      <w:r>
        <w:t>C/21527/2017 Ainsi, en définitive, le recourant n'ayant pas contesté avant le 11 décembre 2015 les différents avis, reçus dès 2013 tant à son adresse privée qu'à l'adresse figurant dans les documents d'ouverture de compte, l'informant de la compensation effectuée, celle-ci doit être considérée comme valable. Quant à l'interdiction de la compensation selon l'art. 125 ch. 2 CO, il convient de relever que l'intimée n'a pas compensé des allocations familiales avec la dette qu'elle détenait à l'encontre du recourant, mais un montant disponible sur le compte de celui-ci. L'intimée n'était pas débitrice des allocations familiales, mais uniquement, le cas échéant, du montant qui figure sur le compte. Une fois sur le compte, le montant versé à titre d'allocations familiales n'était plus individualisé comme tel, et le recourant détenait uniquement une créance d'un montant correspondant, étant rappelé que l'argent est un fongible. Il résulte également de l'absence d'opposition du recourant à la compensation qu'il ne peut être considéré que celle-ci se serait effectuée contre sa volonté. Le Tribunal n'a dès lors pas violé l'art. 125 CO en ne considérant pas que cette disposition faisait obstacle à la compensation opérée par l'intimée. En définitive, la compensation a été valablement effectuée et le ch. 1 du dispositif du jugement attaqué sera dès lors confirmé.</w:t>
      </w:r>
    </w:p>
    <w:p>
      <w:r>
        <w:rPr>
          <w:b/>
        </w:rPr>
        <w:t>E. 5</w:t>
      </w:r>
    </w:p>
    <w:p>
      <w:r>
        <w:t>Le recourant conclut, subsidiairement, si le ch. 1 du dispositif du jugement attaqué était confirmé, à ce que les frais de la procédure de première instance soient mis à la charge de l'intimée. Il avait intenté de bonne foi le procès et la différence entre sa situation financière et celle de l'intimée était importante. De plus, l'intimée plaidait en personne et ne pouvait se voir octroyer des dépens.</w:t>
      </w:r>
    </w:p>
    <w:p>
      <w:r>
        <w:rPr>
          <w:b/>
        </w:rPr>
        <w:t>E. 5.1.1</w:t>
      </w:r>
    </w:p>
    <w:p>
      <w:r>
        <w:t>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Cette dernière hypothèse vise notamment les cas où il existe une disparité économique importante des parties, ainsi que ceux où la partie qui obtient gain de cause a donné lieu à l'introduction de l'action ou a occasionné des frais de procédure complémentaire injustifiés (ATF 139 III 33 consid. 4.2 et les références; arrêt du Tribunal fédéral 4A_535/2015 du 1er juin 2016 consid. 6.4.1). Cette disposition doit cependant être appliquée restrictivement (arrêts du Tribunal fédéral 1C_350/2016 du 2 février 2017 consid. 2.3.2; 5A_482/2014 du 14 janvier 2015 consid. 6 in fine).</w:t>
      </w:r>
    </w:p>
    <w:p>
      <w:r>
        <w:t>- 10/11 -</w:t>
      </w:r>
    </w:p>
    <w:p>
      <w:r>
        <w:t>C/21527/2017</w:t>
      </w:r>
    </w:p>
    <w:p>
      <w:r>
        <w:rPr>
          <w:b/>
        </w:rPr>
        <w:t>E. 5.1.2</w:t>
      </w:r>
    </w:p>
    <w:p>
      <w:r>
        <w:t>Lorsqu'une partie procède sans représentant professionnel, elle n'a droit à une indemnité équitable pour ses démarches, en sus du remboursement de ses débours nécessaires (art. 95 al. 3 lit. a CPC), que dans les cas où cela se justifie (art. 95 al. 3 let. c CPC). Selon le Message du Conseil fédéral (FF 2006 6905), l'art. 95 al. 3 let. c CPC vise notamment la perte de gain d'un indépendant. Le fait que l'activité déployée par une partie non assistée d'un avocat lui occasionne des frais susceptibles d'indemnisation est exceptionnel et nécessite une motivation particulière (arrêts du tribunal fédéral 5A_741/2018 du 19 janvier 2019 consid. 9.2; 4A_355/2013 du 22 octobre 2013 consid. 4.2).</w:t>
      </w:r>
    </w:p>
    <w:p>
      <w:r>
        <w:rPr>
          <w:b/>
        </w:rPr>
        <w:t>E. 5.2</w:t>
      </w:r>
    </w:p>
    <w:p>
      <w:r>
        <w:t>En l'espèce, aucun élément ne justifie de déroger au principe selon lequel la partie qui succombe supporte les frais de la procédure. Le fait que le recourant était de bonne foi et que sa situation financière est nettement moins bonne que celle de l'intimée n'est pas déterminant, de telles circonstances n'étant pas exceptionnelles. Il ne peut par ailleurs être déduit de principes découlant de l'art. 107 CPC que, par principe, les frais devraient être systématiquement mis à la charge de la partie qui est une banque, qu'elle obtienne gain de cause ou succombe, du fait de sa capacité financière généralement supérieure à celle de sa partie adverse. Le Tribunal a par ailleurs condamné le recourant à verser à l'intimée une somme de 1'500 fr. à titre de dépens. Cette dernière comparait toutefois en personne et elle n'explique pas pour quel motif des dépens devraient lui être accordés. Le recours est donc fondé à cet égard et le ch. 3 du dispositif du jugement attaqué sera dès lors annulé.</w:t>
      </w:r>
    </w:p>
    <w:p>
      <w:r>
        <w:rPr>
          <w:b/>
        </w:rPr>
        <w:t>E. 6</w:t>
      </w:r>
    </w:p>
    <w:p>
      <w:r>
        <w:t>Le recourant, qui succombe sur la question principale du litige et n'obtient gain de cause que sur un point secondaire, sera condamné aux frais judicaires de recours, arrêtés à 1'000 fr. Dès lors qu'il plaide au bénéfice de l'assistance judiciaire (art. 122 al. 2 CPC), les frais seront provisoirement laissés à la charge de l'Etat de Genève, qui pourra en demander le remboursement ultérieurement (art. 123 CPC). Il ne sera pas alloué de dépens à l'intimée, qui comparait en personne et n'a pas allégué avoir effectué des démarches le justifiant (art. 95 al. 3 let. c CPC). * * * * *</w:t>
      </w:r>
    </w:p>
    <w:p>
      <w:r>
        <w:t>- 11/11 -</w:t>
      </w:r>
    </w:p>
    <w:p>
      <w:r>
        <w:t>C/21527/2017 PAR CES MOTIFS, La Chambre civile : A la forme : Déclare recevable le recours interjeté par A______ contre le jugement JTPI/1734/2019 rendu le 25 janvier 2019 par le Tribunal de première instance dans la cause C/21527/2017-13. Au fond : Annule le ch. 3 du dispositif de ce jugement. Confirme ce jugement pour le surplus. Sur les frais : Arrête les frais judiciaires de recours à 1'000 fr. et les met à la charge de A______. Dit que ces frais sont provisoirement laissés à la charge de l'Etat de Genève. Dit qu'il n'est pas alloué de dépens de recours.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