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ACJC/1246/2016 vom 23. September 2016</w:t>
      </w:r>
    </w:p>
    <w:p>
      <w:r>
        <w:t>GE Cour de justice, 2016-09-23, FR</w:t>
      </w:r>
    </w:p>
    <w:p>
      <w:r>
        <w:rPr>
          <w:b/>
        </w:rPr>
        <w:t xml:space="preserve">Quelle: </w:t>
      </w:r>
      <w:r>
        <w:t>https://mcp.opencaselaw.ch/entscheid/ge_gerichte_ACJC_1246_2016</w:t>
      </w:r>
    </w:p>
    <w:p>
      <w:r>
        <w:t>FR: GE_GERICHTE ACJC/1246/2016 du 23 septembre 2016</w:t>
      </w:r>
    </w:p>
    <w:p>
      <w:r>
        <w:t>IT: GE_GERICHTE ACJC/1246/2016 del 23 settembre 2016</w:t>
      </w:r>
    </w:p>
    <w:p>
      <w:pPr>
        <w:pStyle w:val="Heading2"/>
      </w:pPr>
      <w:r>
        <w:t>Erwägungen</w:t>
      </w:r>
    </w:p>
    <w:p>
      <w:r>
        <w:rPr>
          <w:b/>
        </w:rPr>
        <w:t>E. 1.1</w:t>
      </w:r>
    </w:p>
    <w:p>
      <w:r>
        <w:t>Selon l'art. 356 CPC, le canton dans lequel le tribunal arbitral a son siège désigne un tribunal supérieur compétent pour a) statuer sur les recours et les demandes en révision; b) recevoir la sentence en dépôt et attester son caractère exécutoire (al. 1). Le canton du siège du tribunal arbitral désigne un tribunal différent ou composé différemment, qui, en instance unique a) nomme, récuse, destitue ou remplace des arbitres; b) prolonge la mission du tribunal arbitral; c) assiste le tribunal arbitral dans l'accomplissement de tout acte de procédure (al. 2).</w:t>
      </w:r>
    </w:p>
    <w:p>
      <w:r>
        <w:t>Le CPC, entré en vigueur le 1er janvier 2011, impose la mise en place d'un système à deux niveaux juridictionnels. Cette solution permet d'éviter qu'un</w:t>
      </w:r>
    </w:p>
    <w:p>
      <w:r>
        <w:t>- 4/7 -</w:t>
      </w:r>
    </w:p>
    <w:p>
      <w:r>
        <w:t>C/23536/2015 tribunal doive juger en procédure de recours la décision d'un arbitre nommé par lui (cf. ATF 141 III 444 consid. 2.2.2.3; SCHWEIZER, in Code de procédure civile commentée, n. 16 ad art. 356 CPC; PFISTERER, in Berner Kommentar Schweizerische Zivilprozessordnung, 2014, n. 3 ad art. 356 CPC; WEBER- STECHER, in Basler Kommentar, Schweizerische Zivilprozessordnung, 2ème éd., 2013, n. 4 ad art. 356 CPC). Cet ordre de compétence est impératif pour les parties. Celles-ci ne peuvent pas modifier la réglementation prévue par l'art. 356 CPC, ni l'attribution de compétence matérielle prévue par le droit cantonal (PFISTERER, op. cit., n. 7 ad art. 356 CPC; STACHER, in Schweizerische Zivilprozessordnung [ZPO], Brunner/Gasser/Schwander [2ème éd.], 2016, n. 4 ad art. 356 CPC).</w:t>
      </w:r>
    </w:p>
    <w:p>
      <w:r>
        <w:t>En vertu de l'art. 356 al. 2 let. a CPC, les cantons ont le choix d'attribuer la compétence pour nommer des arbitres soit à un tribunal supérieur, à la condition qu'il siège dans une composition différente de la formation appelée à statuer sur les recours et les demandes de révision, soit à un tribunal différent, c'est-à-dire inférieur (ATF 141 III 444 consid. 2.2.4.1). A Genève, le législateur a opté pour la seconde solution. La chambre civile de la Cour de justice exerce les compétences que l'art. 356 al. 1 CPC attribue au tribunal supérieur (art. 120 al. 1 let. a LOJ) et le Tribunal de première instance est l'autorité compétente pour notamment nommer, récuser ou remplacer un arbitre (art. 86 al. 2 let. d LOJ). Les parties restent néanmoins libres de désigner une entité autre que celle prévue par l'art. 356 al. 2 let. a CPC pour la nomination, la récusation ou le remplacement d'un arbitre (STACHER, op. cit., n. 4 ad art. 356 CPC; BOOG/STARK-TRABER, in Berner Kommentar Schweizerische Zivilprozessordnung, 2014, n. 22 ad art. 361 CPC). Elles peuvent également prévoir la compétence d'un autre organe pour le cas notamment où elles ne s'entendraient pas sur la nomination de l'arbitre unique (art. 362 al. 1 let. a LPC). L'art. 407 al. 4 CPC prévoit que les procédures judiciaires visées à l'art. 356 CPC qui sont pendantes à l'entrée en vigueur du CPC sont régies par l'ancien droit. Une procédure de nomination d'arbitre, initiée après le 11 janvier 2011, est a contrario soumise aux règles du CPC (WHERLI, in Berner Kommentar Schweizerische Zivilprozessordnung, 2014, n. 43 ad art. 407 CPC). Les parties ne peuvent déroger à l'art. 407 al. 4 CPC, cet aspect procédural ne relevant pas de leur autonomie contractuelle (WHERLI, op. cit, n. 5 ad art. 407 CPC; SCHWEIZER, op. cit., n. 13 ad art. 407 CPC; FISCHER, in Schweizerische Zivilprozessordnung, Baker &amp; McKenzie [éd.], 2010, n. 5 ad art. 407 CPC).</w:t>
      </w:r>
    </w:p>
    <w:p>
      <w:r>
        <w:rPr>
          <w:b/>
        </w:rPr>
        <w:t>E. 1.2</w:t>
      </w:r>
    </w:p>
    <w:p>
      <w:r>
        <w:t>L'interprétation d'une convention d'arbitrage obéit aux principes généraux applicables à l'interprétation des déclarations de volonté privées. Le point déterminant est en première ligne l'accord effectif des parties sur les déclarations qu'elles ont échangées (ATF 130 III 66, JdT 2004 I 83 consid. 3.2).</w:t>
      </w:r>
    </w:p>
    <w:p>
      <w:r>
        <w:t>- 5/7 -</w:t>
      </w:r>
    </w:p>
    <w:p>
      <w:r>
        <w:t>C/23536/2015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(GUILLOD/STEPHEN, Commentaire romand CO I, 2012, n° 60 ad art. 19-20 CO). Les contrats contraires à une règle de droit ne sont nuls que si cette nullité est expressément prévue par la loi ou qu'elle découle de l'esprit et du but de la norme, c'est-à-dire si elle est appropriée à l'importance de l'effet combattu (ATF 134 III 438 consid. 2.2; 134 III 52 consid. 1.1; 119 II 222, JT 1994 I 598 consid. 2; arrêt du Tribunal fédéral 4A_502/2012 du 22 janvier 2013 consid. 2.1).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bonnes mœurs (ATF 122 II 35 consid. 3a). La nullité d'un contrat peut être invoquée en tout temps et le juge l'examine d'office (ATF 129 III 209 consid. 2.2; 123 III 60 consid. 3.b).</w:t>
      </w:r>
    </w:p>
    <w:p>
      <w:r>
        <w:rPr>
          <w:b/>
        </w:rPr>
        <w:t>E. 1.3</w:t>
      </w:r>
    </w:p>
    <w:p>
      <w:r>
        <w:t>En l'espèce, la requête en nomination d'arbitre a été initiée le 10 novembre 2015, soit après l'entrée en vigueur du CPC, de sorte que sa recevabilité doit être examinée à la lumière des dispositions du CPC, bien que la clause d'arbitrage, contenue dans la convention du 22 décembre 1987, ait été conclue sous l'ancien droit. Dans cette convention, les parties ont prévu d'attribuer la compétence de nommer un arbitre à la Cour de justice après que l'une d'entre elles aura récusé deux arbitres proposés par l'autre sans motifs. Plus particulièrement, il doit être retenu que leur commune et réelle intention était de confier cette tâche à la chambre civile de la Cour de justice, les parties ayant procédé à deux reprises par devant cette instance en application de l'art. 13 de la convention du 22 décembre 1987. Certes, les parties étaient libres de convenir de la compétence d'une entité autre que le Tribunal de première instance pour nommer un arbitre dans le cas où elles n'auraient pas trouvé d'accord sur ce point. Toutefois, depuis l'entrée en vigueur du CPC, la loi impose deux niveaux juridictionnels afin d'empêcher que l'autorité amenée à nommer un arbitre doive par la suite statuer sur un recours et/ou une demande de révision exercés contre la sentence. Or, en désignant la chambre civile de la Cour de justice, soit le tribunal supérieur prévu par l'art. 356 al. 1 CPC, la convention du 22 décembre 1987 contrevient à cette règle impérative.</w:t>
      </w:r>
    </w:p>
    <w:p>
      <w:r>
        <w:t>- 6/7 -</w:t>
      </w:r>
    </w:p>
    <w:p>
      <w:r>
        <w:t>C/23536/2015 L'art. 13 de la convention est donc nul en tant qu'il désigne la Cour de céans pour nommer un arbitre.</w:t>
      </w:r>
    </w:p>
    <w:p>
      <w:r>
        <w:t>Compte tenu de ce qui précède, la Cour est incompétente pour connaître de la requête en nomination d'arbitre. Cette dernière sera ainsi déclarée irrecevable.</w:t>
      </w:r>
    </w:p>
    <w:p>
      <w:r>
        <w:rPr>
          <w:b/>
        </w:rPr>
        <w:t>E. 2</w:t>
      </w:r>
    </w:p>
    <w:p>
      <w:r>
        <w:t>Les frais judiciaires seront arrêtés à 500 fr. (art. 47 RTFMC) et supportés par le requérant. Ils seront compensés à due concurrence avec l'avance de frais en 2'000 fr. effectuée par ce dernier. Le requérant sera également condamné aux dépens de l'intimé, arrêtés à 800 fr. (art. 84 ss RTFMC; art. 20 LaCC). * * * * *</w:t>
      </w:r>
    </w:p>
    <w:p>
      <w:r>
        <w:t>- 7/7 -</w:t>
      </w:r>
    </w:p>
    <w:p>
      <w:r>
        <w:t>C/23536/2015 PAR CES MOTIFS, La Chambre civile : Déclare irrecevable la requête en nomination d'arbitre formée par A______ le 10 novembre 2015. Arrête l'émolument forfaitaire de décision à 500 fr., le met à la charge de A______ et le compense avec l'avance de frais, acquise à due concurrence à l'Etat de Genève. Invite les Services financiers du Pouvoir judiciaire à restituer 1'500 fr. à A______. Condamne A______ à payer à B______ 800 fr. au titre des dépens.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