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ACJC/1244/2023 vom 29. September 2023</w:t>
      </w:r>
    </w:p>
    <w:p>
      <w:r>
        <w:t>GE Cour de justice, 2023-09-29, FR</w:t>
      </w:r>
    </w:p>
    <w:p>
      <w:r>
        <w:rPr>
          <w:b/>
        </w:rPr>
        <w:t xml:space="preserve">Quelle: </w:t>
      </w:r>
      <w:r>
        <w:t>https://mcp.opencaselaw.ch/entscheid/ge_gerichte_ACJC_1244_2023</w:t>
      </w:r>
    </w:p>
    <w:p>
      <w:r>
        <w:t>FR: GE_GERICHTE ACJC/1244/2023 du 29 septembre 2023</w:t>
      </w:r>
    </w:p>
    <w:p>
      <w:r>
        <w:t>IT: GE_GERICHTE ACJC/1244/2023 del 29 settembre 2023</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2 CPC). Compte tenu de la capitalisation du montant de la contribution d'entretien litigieuse, la valeur litigieuse est supérieure à 10'000 fr. (art. 92 al. 2 CPC) de sorte que la voie de l'appel est ouverte.</w:t>
      </w:r>
    </w:p>
    <w:p>
      <w:r>
        <w:rPr>
          <w:b/>
        </w:rPr>
        <w:t>E. 1.2</w:t>
      </w:r>
    </w:p>
    <w:p>
      <w:r>
        <w:t>L'appel a été interjeté devant l'autorité compétente, dans le délai et selon la forme prescrits par loi (art. 311 CPC). Il est donc recevable.</w:t>
      </w:r>
    </w:p>
    <w:p>
      <w:r>
        <w:rPr>
          <w:b/>
        </w:rPr>
        <w:t>E. 2</w:t>
      </w:r>
    </w:p>
    <w:p>
      <w:r>
        <w:t>Le Tribunal a considéré, sans que cela ne soit critiqué en appel, que la situation financière de l'intimé ne s'était pas péjorée depuis le prononcé du divorce. La convention des parties devait être interprété à la lumière de sa lettre et "du bon sens", puisque le dossier ne contenait aucun élément concret sur le contexte dans lequel elle avait été signée. Dans ce cadre, l'on ne pouvait considérer que l'intimé s'était potentiellement engagé, au moment du divorce, à prendre en charge à vie une partie des besoins financiers de l'appelante. Cette dernière n'avait que 32 ans</w:t>
      </w:r>
    </w:p>
    <w:p>
      <w:r>
        <w:t>- 5/12 -</w:t>
      </w:r>
    </w:p>
    <w:p>
      <w:r>
        <w:t>C/2013/2020 au moment du divorce et le mariage avait duré six ans. L'engagement pris en 2012 l'avait nécessairement été pour une durée raisonnable. Compte tenu de l'âge de l'enfant et des potentielles difficultés de l'appelante à trouver un emploi, il se justifiait que l'intimé s'engage à l'aider financièrement. L'appelante ne pouvait toutefois pas partir du principe que cet engagement était pris sans limite de temps et indépendamment de la question de savoir si elle faisait les démarches nécessaires pour trouver un emploi et subvenir seule à ses besoins à l'avenir. En fondant une nouvelle famille, l'appelante avait volontairement reporté de plusieurs années une éventuelle formation qui lui aurait permis de pouvoir exercer en Suisse son métier d'infirmière. Si elle avait débuté cette formation au moment du divorce, elle serait en mesure actuellement de subvenir convenablement à ses besoins en exerçant une activité à 80%. C'était avant tout la naissance de son second enfant qui expliquait le fait qu'elle était dans l'incapacité de subvenir à ses besoins. L'appelante fait valoir que les conditions prévues pour la suppression de la contribution ne sont pas réalisées car elle ne dispose pas d'un travail fixe et n'est pas en mesure de pourvoir de manière convenable son entretien. Elle avait déployé des efforts pour retrouver du travail, mais ses recherches étaient entravées par son origine étrangère, la non reconnaissance en Suisse de ses diplômes, son français imparfait et la naissance de son second enfant. En tout état de cause, le Tribunal aurait dû lui accorder un délai raisonnable pour s'adapter à la situation. Elle ne pouvait pas espérer travailler à 80%, taux minimum pour obtenir un niveau convenable de rémunération, avant que son fils E______, né le ______ 2015, ait atteint l'âge de 12 ans. 2.1.1 L’art. 126 al. 3 CC permet aux parties, dans leur convention, de subordonner la contribution d’entretien à certaines conditions, par exemple à une condition résolutoire, qui permet de réduire ou de supprimer la contribution d’entretien en cas de réalisation d'un événement futur (PICHONNAZ, Commentaire romand, 2010. n. 34 et 44 ad art. 126 CC). Selon la jurisprudence, une convention sur les effets accessoires du divorce est une manifestation de volonté qui doit être interprétée selon les mêmes principes que les autres contrats.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w:t>
      </w:r>
    </w:p>
    <w:p>
      <w:r>
        <w:t>- 6/12 -</w:t>
      </w:r>
    </w:p>
    <w:p>
      <w:r>
        <w:t>C/2013/2020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(arrêt du Tribunal fédéral 5A_760/2012 du 27 février 2013 consid. 5.3.1) Dans ce dernier arrêt, les parties avaient convenu du versement d'une contribution à l'épouse jusqu'à l'âge de la retraite. Tribunal fédéral a considéré que ce qui était décisif pour savoir si cette contribution devait être supprimée en cas de concubinage n'était pas de savoir si le concubinage était un événement prévisible, mais si les parties avaient envisagé cette hypothèse et l'avaient expressément réglée. Tel n'était pas le cas, de sorte qu'il y avait lieu de retenir que les époux n'avaient pas convenu que l'existence d'un concubinage futur de l'épouse n'aurait aucune incidence sur la contribution d'entretien (arrêt précité, consid. 5.2 et 5.3.2). Les clauses ambiguës doivent en principe être interprétées d'une manière qui correspond à la législation. Comme celle-ci a, en règle générale, opéré une pesée des intérêts en présence, la partie qui veut s'en écarter doit l'exprimer de façon suffisamment claire dans le contrat (ATF 126 III 388, consid. 9).</w:t>
      </w:r>
    </w:p>
    <w:p>
      <w:r>
        <w:t>2.1.2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Cette disposition concrétise deux principes: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2.1.3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w:t>
      </w:r>
    </w:p>
    <w:p>
      <w:r>
        <w:t>- 7/12 -</w:t>
      </w:r>
    </w:p>
    <w:p>
      <w:r>
        <w:t>C/2013/2020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Ensuite, il doit établir si cette personne a la possibilité effective d'exercer l'activité ainsi déterminée et quel revenu elle peut en obtenir, compte tenu des circonstances subjectives susmentionnées, ainsi que du marché du travail (ATF 143 III 233 consid. 3.2; 137 III 102 consid. 4.2.2.2). Afin de déterminer si un revenu hypothétique doit être imputé, les circonstances concrètes de chaque cas sont déterminantes (arrêt du Tribunal fédéral 5A_645/2020 du 19 mai 2021 consid. 5.2.1).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w:t>
      </w:r>
    </w:p>
    <w:p>
      <w:r>
        <w:rPr>
          <w:b/>
        </w:rPr>
        <w:t>E. 2.2</w:t>
      </w:r>
    </w:p>
    <w:p>
      <w:r>
        <w:t>En l'espèce, la portée exacte de la disposition de la convention de divorce prévoyant que l'intimé verserait à l'appelante une contribution de 1'500 fr. par mois jusqu'à ce que celle-ci dispose d'un travail fixe et soit en mesure de pourvoir de manière convenable à son entretien doit être déterminée à la lumière de la volonté objective des parties, puisque le dossier ne contient aucune information permettant de déterminer leur volonté subjective au moment du divorce. Le divorce est intervenu en 2012 alors que l'enfant des parties avait 5 ans. L'appelante n'a pas établi avoir fait de recherche sérieuse d'emploi depuis. Elle a attendu 2020 pour effectuer un stage d'évaluation à l'emploi d'un mois qui n'a abouti à rien de concret. Les conseils prodigués par les assistantes sociales qui l'ont suivie de juin à septembre 2020 n'ont pas non plus permis d'améliorer la situation. Même si lesdites assistantes sociales ont attesté, en 2021, de la bonne volonté de l'intéressée, il n'en demeure pas moins que celle-ci n'a produit aucun document attestant d'une quelconque recherche de travail de sa part, comme par exemple une réponse à une offre d'emploi ou une candidature spontanée. L'appelante n'a par ailleurs entrepris aucune formation alors qu'elle reconnaît elle- même que ses connaissances de français devraient être améliorées et qu'une formation complémentaire de trois ans est nécessaire pour lui permettre d'exercer en Suisse son métier d'infirmière.</w:t>
      </w:r>
    </w:p>
    <w:p>
      <w:r>
        <w:t>- 8/12 -</w:t>
      </w:r>
    </w:p>
    <w:p>
      <w:r>
        <w:t>C/2013/2020 Comme l'a retenu à juste titre le Tribunal, l'appelante ne pouvait pas, de bonne foi, comprendre la clause litigieuse du jugement de divorce en ce sens que l'intimé acceptait de lui verser une contribution d'entretien à vie, sans qu'il soit nécessaire qu'elle effectue des démarches sérieuses et concrètes pour se réinsérer dans la vie active. Conformément à la jurisprudence précitée, la portée de l'engagement de l'intimé doit être interprétée à la lumière des conditions de l'art. 125 CC. Or, au vu des circonstances du cas d'espèce, cette disposition n'aurait pas permis de fonder un droit à l'entretien de l'appelante illimité dans sa durée. Au moment du divorce, l'intimée n'avait que 32 ans et le mariage n'était pas de longue durée, puisqu'il avait duré six ans. Comme l'a relevé pertinemment le Tribunal, l'origine étrangère de l'appelante et le jeune âge du fils des parties justifiaient que l'intimé s'engage à l'aider financièrement après le divorce. L'intéressée ne pouvait cependant partir du principe que cet engagement était pris sans limite de temps et indépendamment de la question de savoir si elle ferait les démarches nécessaires pour trouver un emploi et subvenir seule à ses besoins à l'avenir. La capacité de gain de l'appelante a probablement été entravée par le fait qu'elle a eu un second enfant en 2015. Il n'apparaît cependant pas que les parties ont, au moment de la signature de leur convention de divorce, envisagé cette possibilité et convenu qu'en cas de naissance d'un nouvel enfant, l'intimé assumerait les conséquences financières qui en découleraient pour l'appelante. Il incombe au contraire au père du second enfant de l'appelante, et non à l'intimé, d'assumer, cas échéant par le biais du versement d'une contribution de soutien, le fait que la capacité de gain de l'appelante est significativement diminuée en raison des soins qu'elle prodigue à son fils cadet, à supposer que tel soit le cas, ce qui n'est pas établi. Le fait que, selon l'appelante, il ne lui soit pas possible de travailler à 80% avant ______ 2027, mois au cours duquel son fils cadet aura atteint ses 12 ans n'est dès lors par pertinent pour l'issue du litige. Il en va de même du fait que l'intimé n'ait pas agi en modification du jugement de divorce immédiatement après la naissance du fils cadet de l'appelante, contrairement à ce que celle-ci soutient. L'arrêt du Tribunal fédéral 5A_1027/2020 du 16 juillet 2020 cité par l'appelante à l'appui de sa thèse n'est pas non plus décisif car il concerne un cas différent. Dans cette affaire, les parties avaient explicitement prévu que la contribution à l'entretien de l'épouse était due quoiqu'il advienne et n'était pas révisable, de sorte que l'ex-époux renonçait à demander une modification de ladite contribution d'entretien, quelles que soient les circonstances nouvelles, ce qui n'est pas le cas en l'espèce. Les seules exceptions prévues dans le cas ayant donné lieu à l’arrêt</w:t>
      </w:r>
    </w:p>
    <w:p>
      <w:r>
        <w:t>- 9/12 -</w:t>
      </w:r>
    </w:p>
    <w:p>
      <w:r>
        <w:t>C/2013/2020 précité étaient celles de l'art. 130 CC (décès ou remariage) et le cas où le revenu net total de l'ex-époux tomberait en dessous d'un montant de 6'000 fr. par mois suite à une maladie ou un accident (arrêt précité, ch. A de la partie en fait). Il résulte de ce qui précède que, si l’appelante avait fait les efforts que l'on pouvait raisonnablement attendre de sa part, elle aurait été, au jour du dépôt de la demande de modification du jugement de divorce, en mesure de subvenir convenablement à ses besoins en exerçant une activité à 80% lui permettant de couvrir ses charges en 2'174 fr. par mois et de disposer d'un montant supplémentaire, comme l'a retenu le Tribunal. Elle pourrait notamment trouver un emploi dans le domaine du nettoyage ou dans celui de la restauration, secteurs dans lesquels elle allègue, sans le prouver, avoir fait des recherches d'emploi infructueuses. L'appelante ne conteste au demeurant pas dans son appel qu'un travail de ce type lui permettrait de pourvoir de manière convenable à son entretien. C'est par conséquent à juste titre que le Tribunal a retenu que la contribution d'entretien litigieuse devait être supprimée.</w:t>
      </w:r>
    </w:p>
    <w:p>
      <w:r>
        <w:rPr>
          <w:b/>
        </w:rPr>
        <w:t>E. 3</w:t>
      </w:r>
    </w:p>
    <w:p>
      <w:r>
        <w:t>Le Tribunal a supprimé la contribution dès avril 2020, à savoir le mois suivant la date à laquelle l'appelante a eu connaissance de la demande en modification du jugement de divorce.</w:t>
      </w:r>
    </w:p>
    <w:p>
      <w:r>
        <w:t>L'appelante fait valoir qu'un "délai raisonnable" au ______ 2027 doit lui être accordé pour lui permettre de "s'adapter à la nouvelle situation".</w:t>
      </w:r>
    </w:p>
    <w:p>
      <w:r>
        <w:rPr>
          <w:b/>
        </w:rPr>
        <w:t>E. 3.1</w:t>
      </w:r>
    </w:p>
    <w:p>
      <w:r>
        <w:t>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(ATF 117 II 368 consid. 4c; arrêt du Tribunal fédéral 5A_290/2010 du 28 octobre 2010 consid. 9.2 in SJ 2011 I p. 177).</w:t>
      </w:r>
    </w:p>
    <w:p>
      <w:r>
        <w:rPr>
          <w:b/>
        </w:rPr>
        <w:t>E. 3.2</w:t>
      </w:r>
    </w:p>
    <w:p>
      <w:r>
        <w:t>En l'espèce, la procédure a duré plus de deux ans. Compte tenu du fait que l'appelante n'a toujours aucun revenu et vit avec deux enfants âgés respectivement de 16 et 8 ans, le remboursement des contributions versées pendant la durée de la procédure serait une charge excessivement lourde pour elle. Il serait d’autant plus inéquitable d’exiger un tel remboursement qu’il n'est pas contesté que l'intimé,</w:t>
      </w:r>
    </w:p>
    <w:p>
      <w:r>
        <w:t>- 10/12 -</w:t>
      </w:r>
    </w:p>
    <w:p>
      <w:r>
        <w:t>C/2013/2020 dont le solde disponible est supérieur à ce qu'il était en 2012, a les moyens de s'acquitter de cette contribution pour toute la durée de la procédure. La contribution due pour l'entretien de l'appelante sera dès lors supprimée avec effet au 1er décembre 2022, date du prononcé du jugement querellé. Celui-ci sera modifié en conséquence.</w:t>
      </w:r>
    </w:p>
    <w:p>
      <w:r>
        <w:rPr>
          <w:b/>
        </w:rPr>
        <w:t>E. 4</w:t>
      </w:r>
    </w:p>
    <w:p>
      <w:r>
        <w:t>La modification de la date de prise d'effet de la suppression de la contribution ne justifie pas de revoir le sort des frais de première instance.</w:t>
      </w:r>
    </w:p>
    <w:p>
      <w:r>
        <w:t>Compte tenu de l'issue du litige et de sa nature familiale, les frais d'appel seront mis à la charge des parties à raison d'une moitié chacune (art. 106 al. 2 et 107 al. 1 let. c CPC).</w:t>
      </w:r>
    </w:p>
    <w:p>
      <w:r>
        <w:t>Les frais judiciaires d'appel seront arrêtés à 1'500 fr. (art. 30 et 35 RTFMC). Dans la mesure où l'appelante plaide au bénéfice de l'assistance judiciaire, sa part sera provisoirement prise en charge par l'Etat de Genève, qui pourra en réclamer le remboursement ultérieurement (art. 122 et 123 CPC). L'intimé sera condamné à verser 750 fr. à l'Etat de Genève au titre des frais judiciaires.</w:t>
      </w:r>
    </w:p>
    <w:p>
      <w:r>
        <w:t>Chaque partie gardera ses propre dépens d'appel à sa charge. * * * * *</w:t>
      </w:r>
    </w:p>
    <w:p>
      <w:r>
        <w:t>- 11/12 -</w:t>
      </w:r>
    </w:p>
    <w:p>
      <w:r>
        <w:t>C/2013/2020 PAR CES MOTIFS, La Chambre civile : A la forme : Déclare recevable l'appel interjeté par A______ contre le jugement JTPI/14379/2022 rendu le 1er décembre 2022 par le Tribunal de première instance dans la cause C/2013/2020. Au fond : Annule le chiffre 2 du dispositif du jugement querellé et, statuant à nouveau : Annule le chiffre 5 du jugement JTPI/14313/2012 du 9 octobre 2012 avec effet au 1er décembre 2022. Libère B______ de toute obligation de contribuer à l'entretien de A______ depuis le 1er décembre 2022. Déboute les parties de toutes autres conclusions. Sur les frais : Met les frais judiciaires d'appel, arrêtés à 1'500 fr., à la charge des parties à raison d'une moitié chacune. Dit que la part des frais due par A______ est provisoirement supportée par l'Etat de Genève. Condamne B______ à verser 750 fr. à l'Etat de Genève, soit pour lui les Services financiers du Pouvoir judiciaire, au titre des frais judiciaires d'appel. Dit qu'il n'est pas alloué de dépens d'appel. Siégeant : Monsieur Laurent RIEBEN, président; Monsieur Patrick CHENAUX, Madame Fabienne GEISINGER-MARIETHOZ, juges; Madame Jessica ATHMOUNI, greffière.</w:t>
      </w:r>
    </w:p>
    <w:p>
      <w:r>
        <w:t>t</w:t>
      </w:r>
    </w:p>
    <w:p>
      <w:r>
        <w:t>- 12/12 -</w:t>
      </w:r>
    </w:p>
    <w:p>
      <w:r>
        <w:t>C/2013/2020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