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ACJC/1243/2019 vom 12. September 2019</w:t>
      </w:r>
    </w:p>
    <w:p>
      <w:r>
        <w:t>GE Cour de justice, 2019-09-12, FR</w:t>
      </w:r>
    </w:p>
    <w:p>
      <w:r>
        <w:rPr>
          <w:b/>
        </w:rPr>
        <w:t xml:space="preserve">Quelle: </w:t>
      </w:r>
      <w:r>
        <w:t>https://mcp.opencaselaw.ch/entscheid/ge_gerichte_ACJC_1243_2019</w:t>
      </w:r>
    </w:p>
    <w:p>
      <w:r>
        <w:t>FR: GE_GERICHTE ACJC/1243/2019 du 12 septembre 2019</w:t>
      </w:r>
    </w:p>
    <w:p>
      <w:r>
        <w:t>IT: GE_GERICHTE ACJC/1243/2019 del 12 settembre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ainsi que sur le partage des avoirs de prévoyance professionnelle des parties, d'une valeur supérieure à 10'000 fr. La voie de l'appel est donc ouverte.</w:t>
      </w:r>
    </w:p>
    <w:p>
      <w:r>
        <w:t>1.2.1 L'appel doit être motivé et formé par écrit dans un délai de trente jours à compter de la notification de la décision attaquée (art. 130, 131, 145 al. 1 let. b et 311 al. 1 CPC). L'appelant doit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arrêt du Tribunal fédéral 5D_43/2019 du 24 mai 2019 consid. 3.2.2.1). L'appel doit en outre contenir des conclusions. Celles-ci doivent être interprétées selon les règles de la bonne foi. Il suffit à cet égard que le sens dans lequel la modification de la décision attaquée est demandée résulte clairement de la motivation du recours, cas échéant mise en relation avec la décision attaquée (ATF 137 III 617 consid. 4.2 ; arrêt du Tribunal fédéral 5D_43/2019 précité). Les conclusions portant sur une somme d'argent doivent être chiffrées. Exceptionnellement, des conclusions non chiffrées suffisent lorsque la somme à allouer est d'emblée reconnaissable au regard de la motivation du recours ou de la décision attaquée (ATF 134 III 235 consid. 2; arrêt du Tribunal fédéral 5A_762/2013 du 27 mars 2014 consid. 1.2).</w:t>
      </w:r>
    </w:p>
    <w:p>
      <w:r>
        <w:t>- 12/23 -</w:t>
      </w:r>
    </w:p>
    <w:p>
      <w:r>
        <w:t>C/16163/2016 1.2.2 En l'espèce, l'appel a été introduit en temps utile. Bien que les conclusions prises par l'appelant ne prennent pas la forme habituelle, les critiques apportées au jugement permettent de comprendre dans quel sens il entend que celui-ci soit modifié et de chiffrer les montants réclamés. L'acte d'appel, considéré avec indulgence s'agissant d'un justiciable en personne, sera dès lors déclaré recevable.</w:t>
      </w:r>
    </w:p>
    <w:p>
      <w:r>
        <w:rPr>
          <w:b/>
        </w:rPr>
        <w:t>E. 1.3</w:t>
      </w:r>
    </w:p>
    <w:p>
      <w:r>
        <w:t>La Cour revoit la cause en fait et en droit avec un plein pouvoir d'examen (art. 310 CPC), mais uniquement dans la limite des griefs qui sont formulés (ATF 142 III 413 consid. 2.2.4 et les références citées).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(arrêt du Tribunal fédéral 5A_524/2017 du 9 octobre 2017 consid. 3.2.2). La maxime des débats et le principe de disposition sont applicables en ce qui concerne la liquidation du régime matrimonial (art. 55 al. 1, 58 al. 1 et 277 al. 1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5A_18/2018 du 16 mars 2018 consid. 6).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2 à 7 produites par l'appelant sont irrecevables dès lors qu'elles sont toutes antérieures à la date à laquelle le Tribunal a gardé la cause à</w:t>
      </w:r>
    </w:p>
    <w:p>
      <w:r>
        <w:t>- 13/23 -</w:t>
      </w:r>
    </w:p>
    <w:p>
      <w:r>
        <w:t>C/16163/2016 juger et qu'elles ne sont pas en lien avec la contribution d'entretien due à l'enfant. Dès lors, il ne peut être tenu compte des faits qu'elles comportent. Les autres documents (1a, 1b et 8), soit les tableaux effectués de la main de l'appelant, constituent de simples allégués.</w:t>
      </w:r>
    </w:p>
    <w:p>
      <w:r>
        <w:t>En revanche, les pièces produites par l'intimée sont recevables puisque postérieures au jugement.</w:t>
      </w:r>
    </w:p>
    <w:p>
      <w:r>
        <w:rPr>
          <w:b/>
        </w:rPr>
        <w:t>E. 3</w:t>
      </w:r>
    </w:p>
    <w:p>
      <w:r>
        <w:t>L'appelant reproche au Tribunal de l'avoir condamné à verser la rente complémentaire AVS destinée à C______ en mains de l'appelante et non en mains de sa fille. Il fait valoir que celle-ci perçoit directement cette rente sur son compte bancaire, ce que ne conteste pas l'intimée.</w:t>
      </w:r>
    </w:p>
    <w:p>
      <w:r>
        <w:rPr>
          <w:b/>
        </w:rPr>
        <w:t>E. 3.1</w:t>
      </w:r>
    </w:p>
    <w:p>
      <w:r>
        <w:t>Si l'enfant devenu majeur en cours de procédure approuve les prétentions réclamées, le procès est poursuivi par le parent qui détenait l'autorité parentale, le dispositif du jugement devant toutefois énoncer que les contributions d'entretien seront payées en mains de l'enfant, ce dernier étant seul légitimé, dès son accession à la majorité, à réclamer une contribution d'entretien, judiciairement ou par voie la voie de l'exécution forcée (ATF 142 III 78 consid. 3.2; 129 III 55 consid. 3.1.5 ; arrêt du Tribunal fédéral 5A_119/2017 du 30 août 2017 consid. 10).</w:t>
      </w:r>
    </w:p>
    <w:p>
      <w:r>
        <w:rPr>
          <w:b/>
        </w:rPr>
        <w:t>E. 3.2</w:t>
      </w:r>
    </w:p>
    <w:p>
      <w:r>
        <w:t>En l'espèce, il n'est pas contesté que la rente complémentaire pour enfant versée à l'appelant en faveur de C______, devenue majeure en cours de procédure, est une composante de la contribution à son entretien. C'est dès lors à juste titre que l'appelant fait valoir que le Tribunal aurait dû indiquer dans son dispositif que cette rente devait être versée directement en mains de la fille, et non de la mère, dès sa majorité. Il semble d'ailleurs que tel soit déjà le cas. Par conséquent, le chiffre 2 du dispositif du jugement querellé sera modifié en ce sens que l'appelant sera condamné à verser la rente complémentaire AVS qu'il perçoit en faveur de C______, majeure, en mains de cette dernière. En revanche, il n'appartient pas au juge du divorce de statuer sur les modalités selon lesquelles la fille et le père échangeront d'éventuelles informations relatives à cette rente complémentaire AVS.</w:t>
      </w:r>
    </w:p>
    <w:p>
      <w:r>
        <w:rPr>
          <w:b/>
        </w:rPr>
        <w:t>E. 4</w:t>
      </w:r>
    </w:p>
    <w:p>
      <w:r>
        <w:t>Le rachat par l'appelant de la part de l'intimée sur l'immeuble copropriété des ex- époux n'est pas contesté dans son principe. L'appelant conteste la manière donc la soulte a été calculée par le Tribunal.</w:t>
      </w:r>
    </w:p>
    <w:p>
      <w:r>
        <w:t>4.1.1 En cas de divorce, le partage d'un bien en copropriété doit être effectué avant de passer à la liquidation du régime matrimonial selon les art. 205 ss CC (ATF 138 III 150 consid. 5.1.1).</w:t>
      </w:r>
    </w:p>
    <w:p>
      <w:r>
        <w:t>- 14/23 -</w:t>
      </w:r>
    </w:p>
    <w:p>
      <w:r>
        <w:t>C/16163/2016 A la dissolution du régime matrimonial légal de la participation aux acquêts, chaque époux reprend ceux de ces biens qui sont en possession de son conjoint (art. 205 al. 1 CC), et lorsqu'un bien est en copropriété, il peut être attribué entièrement à celui des époux qui justifie d'un intérêt prépondérant, à charge pour lui de désintéresser son conjoint (art. 205 al. 2 CC). Ce mode de liquidation de la copropriété s'ajoute aux modes de liquidation ordinaires prévus par l'art. 651 al. 2 CC pour tous les copropriétaires. 4.1.2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 et, partant, les conséquences de l'absence de preuve ou d'allégation (ATF 127 III 519 consid. 2a et les références).</w:t>
      </w:r>
    </w:p>
    <w:p>
      <w:r>
        <w:rPr>
          <w:b/>
        </w:rPr>
        <w:t>E. 4.2</w:t>
      </w:r>
    </w:p>
    <w:p>
      <w:r>
        <w:t>En l'espèce, le premier juge a constaté que la parcelle avait été acquise pour 240'000 fr., que la construction de la villa avait coûté 455'400 fr., de sorte que le coût total de l'opération, y compris les frais de mutation (9'600 fr.), les intérêts intercalaires sur le crédit de construction (7'500 fr.) et la constitution de cédules hypothécaires (12'500 fr.), s'était élevé à 725'000 fr. Il fallait y ajouter 100'000 fr. de plus-value pour la construction de la piscine. Il incombait à l'appelant, qui s'en prévalait, d'établir que des investissements supplémentaires pour une somme totale de 97'471 fr. avaient été financés par les acquêts des époux. Alors que l'intimée a contesté cette allégation, l'appelant n'a produit aucune pièce probante devant le Tribunal. Les extraits bancaires déposés par l'appelant ne font pas mention des raisons pour lesquelles les paiements ont été effectués, de sorte qu'il est impossible de les rattacher à des dépenses relatives au bien immobilier copropriété des parties et la "déclaration sous serment" de l'appelant relativement à cet allégué est insuffisante à le prouver. En outre, les tableaux établis de la main de l'appelant produits en appel ne sont étayés par aucun document, de sorte qu'ils sont dénués de force probante. Par conséquent, l'appelant échoue également à prouver son allégation en appel. Par ailleurs, c'est à tort que l'appelant reproche au Tribunal d'avoir omis de prendre en compte le financement de la maison par 20'000 fr. provenant de ses acquêts, comme le démontre le calcul effectué par le premier juge qui a accordé une plus-value de 8'228 fr. aux acquêts de chacun des époux. L'appelant fait valoir avoir contribué à hauteur de 58,6% aux dépenses de la maison que ce soit au niveau des investissements consentis ou du paiement des intérêts à la banque. Il n'en tire toutefois aucune conclusion, de sorte que cette argument est irrecevable.</w:t>
      </w:r>
    </w:p>
    <w:p>
      <w:r>
        <w:t>- 15/23 -</w:t>
      </w:r>
    </w:p>
    <w:p>
      <w:r>
        <w:t>C/16163/2016 Pour le surplus, les développements de l'appelant relativement au fait que le Tribunal n'aurait pas suivi la bonne méthode pour effectuer le calcul de la soulte ne sont pas suffisamment clairs – de même que la feuille de calcul annexée à son appel sur ce point qui comprend différents calculs – pour qu'il puisse être entré en matière sur ce point. Au vu de ce qui précède, le chiffre 3 du dispositif du jugement attaqué sera confirmé.</w:t>
      </w:r>
    </w:p>
    <w:p>
      <w:r>
        <w:rPr>
          <w:b/>
        </w:rPr>
        <w:t>E. 5</w:t>
      </w:r>
    </w:p>
    <w:p>
      <w:r>
        <w:t>Dans le cadre de la liquidation des comptes bancaires des époux, l'appelant reproche au Tribunal d'avoir retenu de manière erronée que le solde du compte courant n° 1______ de l'intimée auprès de la F______ s'élevait à 7'031 fr. 91 au 16 août 2016, alors qu'il ressortait des extraits bancaires produits que celui-ci était de 20'658 fr. 88. Il reproche également au Tribunal d'avoir considéré que les avoirs de l'intimée se trouvant sur le compte premium n° 3______ (portefeuille de placements) auprès de F______, constituaient des biens propres.</w:t>
      </w:r>
    </w:p>
    <w:p>
      <w:r>
        <w:t>L'appelant persiste en outre à réclamer la moitié de la valeur résiduelle du véhicule automobile de l'intimée au 16 août 2016 et reproche au Tribunal d'avoir fait droit aux conclusions de l'intimée s'agissant du partage des biens mobiliers. 5.1.1 Il est acquis que les parties, qui n'ont pas conclu de contrat de mariage, étaient soumises au régime légal de la participation aux acquêts (art. 181 CC).</w:t>
      </w:r>
    </w:p>
    <w:p>
      <w:r>
        <w:t>Ce régime comprend les acquêts et les biens propres de chaque époux (art. 196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5.1.2 En vertu de l'art. 204 al. 2 CC, la dissolution du régime matrimonial des parties prend effet au jour de l'introduction de la demande en divorce. Les acquêts et les biens propres de chaque époux sont disjoints dans leur composition au jour</w:t>
      </w:r>
    </w:p>
    <w:p>
      <w:r>
        <w:t>- 16/23 -</w:t>
      </w:r>
    </w:p>
    <w:p>
      <w:r>
        <w:t>C/16163/2016 de la dissolution du régime (art. 207 al. 1 CC). La composition des actifs et passifs des comptes d'acquêts est définitivement arrêtée à cette date (arrêt du Tribunal fédéral 5C_229/2002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la valeur doit s'effectuer au jour de la dissolution du régime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du 18 novembre 2015 consid. 10.3). 5.1.3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références citées). L’obligation de contester de manière motivée ne signifie pas que des postes auxquels le défendeur ne peut opposer d’objections concrètes devraient être considérés comme admis. Cela aboutirait à un renversement des fardeaux de l’allégation et de la preuve. Même une contestation par le terme "ignoré" est admissible, en tout cas dans la mesure où les événements en question ne sont pas l’objet des actes ou des constatations de la partie même qui conteste (arrêts du Tribunal fédéral 4A_443/2017 du 30 avril 2017 consid. 4.3 ; 4A_709/2011 du 31 mai 2012 consid. 3.2).</w:t>
      </w:r>
    </w:p>
    <w:p>
      <w:r>
        <w:t>5.2.1 En l'espèce, le Tribunal a effectué une mauvaise lecture des pièces produites, retenant par erreur que le compte courant n° 1______ de l'intimée auprès de F______ s'élevait à 7'031 fr. 91 au 16 août 2016 alors qu'il était de 20'658 fr. 88 à cette date. De même, c'est à juste titre que l'appelant reproche au Tribunal d'avoir considéré qu'il n'avait pas contesté que la maison de l'intimée avait été acquise au moyen de biens propres de celle-ci, puisque qu'il a indiqué ignorer ce fait dans son mémoire de réponse, et qu'une telle position ne revenait pas à l'admettre. De plus, ce n'est que postérieurement au mémoire de réponse de l'appelant que l'intimée a produit ses relevés bancaires, de sorte que l'appelant n'a pas pu prendre position sur ceux-</w:t>
      </w:r>
    </w:p>
    <w:p>
      <w:r>
        <w:t>- 17/23 -</w:t>
      </w:r>
    </w:p>
    <w:p>
      <w:r>
        <w:t>C/16163/2016 ci dans son mémoire de réponse. Or, après avoir eu connaissance des nouveaux documents, l'appelant a conclu devant le Tribunal à ce que les avoirs présents sur le compte premium n° 3______ (portefeuille de placements) auprès de F______ soient considérés comme des acquêts. L'intimée n'a, pour sa part, produit aucun document prouvant que les avoirs en question constituaient des biens propres, la seule allégation selon laquelle elle n'aurait pas pu économiser une telle somme d'argent sur ses revenus étant insuffisante. Cela étant, devant la Cour, l'appelant reconnait que le compte litigieux a été partiellement alimenté par des actions que l'intimée avait héritées de sa mère en mars 2006. Il admet que ce compte, qui présentait un solde de 334'319 fr. au 23 mars 2006, était composé de 100'479 fr. d'acquêts (30,05%) et de 233'900 fr. d'actions héritées par l'intimée le 1er mars 2006, soit des biens propres (69,95%). S'agissant d'actions, il n'y a pas eu de mélange entre les masses qui sont restées distinctes. C'est ainsi exclusivement une somme de 105'685 fr. (30,05% de 351'697 fr. retirée par l'intimée) qui doit être réintégrée dans les acquêts de celle-ci, le solde constituant des biens propres. Il n'est pas contesté que les avoirs présents sur le compte bancaire de l'appelant auprès de H______ constituent des biens propres de celui-ci, ce dont le premier juge a tenu compte dans la liquidation des avoirs bancaires des époux. Il n'y a, dès lors, pas lieu d'y revenir. Enfin, les développements de l'appelant s'agissant d'un versement effectué en 1998, dont il est admis qu'il a été entièrement dépensé durant la vie commune, ne sont pas compréhensibles, de sorte qu'il ne sera pas entré en matière sur ce point. Au vu de ce qui précède, le montant d'acquêts à partager au titre de la liquidation des comptes bancaires est de 26'048 fr. 46 pour l'appelant (non contesté en appel) et de 126'343 fr. 88 (105'685 fr. + 20'658 fr. 88) pour l'intimée. Par conséquent, le chiffre 6 du dispositif du jugement sera annulé et l'intimée sera condamnée à verser à l'appelant 50'147 fr. 70 [(126'343 fr. 88 + 26'048 fr. 46) / 2 - 26'048 fr. 46] au titre de liquidation des comptes bancaires. 5.2.2 Contrairement à ce que soutient l'appelant, la valeur du véhicule automobile de l'intimée doit être arrêtée au 15 janvier 2019. En effet, si les masses des époux sont disjointes lors du dépôt de la demande en divorce, la valeur des objets composant ces masses est estimée au jour du prononcé du jugement de divorce. Il n'est pas contesté par les parties que le véhicule de l'intimée avait une valeur résiduelle de 13'000 fr. en octobre 2018, peu de temps avant le prononcé du jugement de divorce en janvier 2019. L'intimée a prouvé avoir financé une partie du coût d'achat de ce véhicule au moyen d'un don de 10'000 fr. de sa mère. En revanche, le virement d'une somme de 6'225 fr. de son compte n° 3______ (portefeuille de placements) auprès de F______ sur son compte courant ne suffit pas à prouver que cet argent a été investi dans son véhicule. Partant, le véhicule</w:t>
      </w:r>
    </w:p>
    <w:p>
      <w:r>
        <w:t>- 18/23 -</w:t>
      </w:r>
    </w:p>
    <w:p>
      <w:r>
        <w:t>C/16163/2016 ayant été acquis 24'540 fr., ce sont 14'540 fr. d'acquêts qui ont été utilisés pour cet achat (soit 59,25%). C'est ainsi la somme de 7'702 fr. (59,25% de 13'000 fr.) qui doit être comptabilisée dans les acquêts de l'intimée à ce titre. L'appelant n'a produit aucun document relatif à la valeur actuelle de son scooter. L'intimée n'a toutefois pas contesté que ce véhicule avait été acquis en 2009. Or, il est généralement admis qu'un véhicule neuf perd 20 à 25% de sa valeur la première année, puis 10% à 15% par année (www.auto2day.ch; www.legipermis.com). Par conséquent, en 2019, le scooter de l'appelant n'a plus aucune valeur résiduelle. Il ne peut donc pas être retenu que la valeur de ces deux véhicules est semblable et l'intimée sera condamnée à verser 3'851 fr. (7'702 fr. / 2) à l'appelant au titre de la liquidation des véhicules. 5.2.3 Enfin, l'appelant n'a pas prouvé son allégation selon laquelle l'intimée aurait conservé la possession de plus de meubles que lui et que la valeur de ceux-ci dépasserait la moitié lui revenant. Dès lors qu'il entendait tirer le droit au versement d'une somme d'argent de ces faits, c'est à juste titre que le Tribunal lui a fait supporter l'absence de preuve. Le jugement sera dès lors confirmé sur ce point.</w:t>
      </w:r>
    </w:p>
    <w:p>
      <w:r>
        <w:rPr>
          <w:b/>
        </w:rPr>
        <w:t>E. 6</w:t>
      </w:r>
    </w:p>
    <w:p>
      <w:r>
        <w:t>L'appelant critique la manière dont le Tribunal a calculé l'indemnité équitable lui revenant au titre de la liquidation des avoirs de prévoyance professionnelle des parties. 6.1.1 Depuis le 1er janvier 2017, le traitement de la prévoyance professionnelle en cas de divorce est régi par le nouveau droit; les procès pendants devant une instance cantonale sont soumis au nouveau droit dès cette date (art. 7d al. 1 et 2 Titre final CC; ATF 145 II 56 consid. 5). Le présent litige s'examine donc à la lumière du nouveau droit. 6.1.2 Aux termes de l’art. 122 CC, le principe est que les prétentions de prévoyance professionnelle acquises durant le mariage et jusqu'à l'introduction de la procédure de divorce sont partagées entre les époux.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t>- 19/23 -</w:t>
      </w:r>
    </w:p>
    <w:p>
      <w:r>
        <w:t>C/16163/2016 6.1.3 Selon l'art. 5 al. 1 let. b LFLP, l'assuré peut exiger le paiement en espèces de la prestation de sortie lorsqu'il s'établit à son compte et qu'il n'est plus soumis à la prévoyance professionnelle obligatoire. Le paiement en espèces de la prestation de sortie pendant le mariage au sens de l'art. 5 al. 1 LFLP entraîne l'impossibilité de partager la prestation de sortie au sens de l'art. 122 al. 1 aCC (ATF 127 III 433 consid. 2a; arrêt du Tribunal fédéral 9C_780/2013 du 18 février 2014 consid. 2.2). 6.1.4 Selon l'art. 124e al. 1 CC, si l'exécution du partage au moyen de la prévoyance professionnelle s'avère impossible, le conjoint débiteur est redevable au conjoint créancier d'une indemnité équitable sous la forme d'une prestation en capital ou d'une rente. S'agissant d'une solution déjà connue sous l'ancien droit, les paramètres qui permettent de chiffrer l'indemnité équitable devraient en principe rester les mêmes sous le nouveau droit (DUPONT, Les nouvelles règles sur le partage de la prévoyance en cas de divorce, in CEMAJ, 2016, p. 86, n. 100). Lors de la fixation de cette indemnité, il faut garder à l'esprit l'option de base du législateur à l'art. 122 aCC,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w:t>
      </w:r>
    </w:p>
    <w:p>
      <w:r>
        <w:rPr>
          <w:b/>
        </w:rPr>
        <w:t>E. 6.2</w:t>
      </w:r>
    </w:p>
    <w:p>
      <w:r>
        <w:t>En l'espèce, l'appelant ne conteste pas que la prestation de sortie accumulée par l'intimée durant le mariage s'élève à 319'905 fr. 90. Il estime que le Tribunal aurait dû prendre en compte des intérêts sur ses avoirs accumulés lors du mariage, de sorte que ce ne serait pas la somme de 38'583 fr. 60 qui aurait dû être déduite des 178'438 fr. 85 qu'il a perçus en 2002, mais une somme de 46'156 fr. (cf. pièce 8 app.). Ses avoirs accumulés pendant le mariage seraient ainsi de 132'282 fr. 85 (178'438 fr. 85 - 46'156 fr.) et l'indemnité équitable devrait être de 93'811 fr. 50 (319'906 fr. + 132'283 fr.) / 2 – 132'283 fr.), et non de 90'025 fr. 32 comme arrêté par le Tribunal. Cela étant, dès lors qu'il s'agit de procéder au calcul d'une indemnité équitable et non d'un strict partage par</w:t>
      </w:r>
    </w:p>
    <w:p>
      <w:r>
        <w:t>- 20/23 -</w:t>
      </w:r>
    </w:p>
    <w:p>
      <w:r>
        <w:t>C/16163/2016 moitié des avoirs accumulés par les parties durant le mariage, une différence de 3'800 fr. entre le montant arrêté par le Tribunal et celui réclamé par l'appelant ne justifie pas de revoir la décision litigieuse. En effet, le Tribunal n'a pas mésusé de son large pouvoir d'appréciation. Par ailleurs, l'allégation de l'appelant selon laquelle il aurait prioritairement attribué ses revenus à l'entretien de la famille au détriment de la reconstitution de son 2ème pilier est sans pertinence et non prouvée, étant relevé que l'appelant dispose encore d'une somme de 127'726 fr. – sur les 178'438 fr. retirés – qui n'a pas été partagée dans le cadre de la liquidation du régime matrimonial dès lors que l'intimée a admis qu'il s'agissait d'avoirs de prévoyance. Enfin, le raisonnement, au demeurant peu clair, de l'appelant selon lequel le calcul du Tribunal aurait eu pour conséquence de lui infliger une "pénalité" n'est pas fondé, la soustraction de la somme de 139'855 fr. 25 – dans le calcul ([(354'121 fr. 85 – 34'215 fr. 95) + (178'438 fr. 85 – 38'583 fr. 60) / 2 ] – 139'855 fr. 25) – ayant uniquement pour but de déterminer, par compensation, le montant revenant à l'appelant. Il n'y a pas lieu de diviser ce montant par moitié comme le voudrait l'appelant, ces avoirs n'ayant pas le statut d'acquêts et n'entrant pas dans la liquidation du régime matrimonial des ex-époux. Pour le surplus, il n'y a pas lieu de tenir compte des impôts sur le gain en capital acquittés par l'appelant à la suite de la perception de son capital de prévoyance professionnelle, la loi ne le prévoyant pas. Au vu de ce qui précède, le jugement sera confirmé sur ce point.</w:t>
      </w:r>
    </w:p>
    <w:p>
      <w:r>
        <w:rPr>
          <w:b/>
        </w:rPr>
        <w:t>E. 7.1</w:t>
      </w:r>
    </w:p>
    <w:p>
      <w:r>
        <w:t>Lorsque la Cour de céans statue à nouveau, elle se prononce sur les frais fixés par l'autorité inférieure (art. 318 al. 3 CPC). En l'espèce, la décision du Tribunal de fixer les frais judiciaires de première instance à 12'000 fr. et de les répartir par moitié entre les parties est conforme au droit tant quant à la quotité (art. 30 et 31 RTFMC) que, vu l’issue du litige et le caractère familial de celui-ci, quant à la répartition (art. 106 al. 2 et 107 al. 1 let. c CPC). Le même raisonnement s'applique à la décision sur les dépens. Ainsi, la décision du Tribunal sur les frais de première instance sera confirmée.</w:t>
      </w:r>
    </w:p>
    <w:p>
      <w:r>
        <w:rPr>
          <w:b/>
        </w:rPr>
        <w:t>E. 7.2</w:t>
      </w:r>
    </w:p>
    <w:p>
      <w:r>
        <w:t>Les frais judiciaires de l'appel seront arrêtés à 5'000 fr. (art. 95 al. 2 et 105 al. 1 CPC; art. 30 et 35 RTFMC). Vu la nature familiale et l'issue du litige, l'appelant obtenant partiellement gain de cause, les frais judiciaires seront mis à charge de chacune des parties, à parts égales (art. 106 al. 2 et 107 al. 1 let. c CPC), et seront partiellement compensés</w:t>
      </w:r>
    </w:p>
    <w:p>
      <w:r>
        <w:t>- 21/23 -</w:t>
      </w:r>
    </w:p>
    <w:p>
      <w:r>
        <w:t>C/16163/2016 avec l'avance de frais de 4'200 fr. fournie par l'appelant, acquises à l'Etat de Genève (art. 111 al. 1 CPC). L'intimée sera condamnée à verser 1'700 fr. (4'200 fr. – 2'500 fr.) à l'appelant et 800 fr. aux Services financiers du Pouvoir judiciaire. Compte tenu de l’issue de la procédure et de la nature familiale du litige, chaque partie conservera à sa charge ses propres dépens d'appel (art. 95 al. 1 let. b et al. 3, 104 al. 1, 105 al. 2 et 107 al. 1 let. c CPC). * * * * *</w:t>
      </w:r>
    </w:p>
    <w:p>
      <w:r>
        <w:t>- 22/23 -</w:t>
      </w:r>
    </w:p>
    <w:p>
      <w:r>
        <w:t>C/16163/2016 PAR CES MOTIFS, La Chambre civile : A la forme : Déclare recevable l'appel interjeté le 15 février 2019 par A______ contre le jugement JTPI/747/2019 rendu le 15 janvier 2019 par le Tribunal de première instance dans la cause C/16163/2016-8. Au fond : Annule les chiffres 2 et 6 du dispositif dudit jugement, et statuant à nouveau sur ces points : Condamne A______ à verser la rente complémentaire AVS qu'il perçoit en faveur de C______, née le ______ 1999, en mains de celle-ci. Condamne B______ à verser à A______ la somme de 50'147 fr. 70 au titre de la liquidation des comptes bancaires. Condamne B______ à verser à A______ la somme de 3'851 fr. au titre de la liquidation des véhicules. Confirme le jugement attaqué pour le surplus. Déboute les parties de toutes autres conclusions. Sur les frais : Arrête les frais judiciaires d'appel à 5’000 fr., les met à la charge de A______ et B______ à raison d'une moitié chacun et les compense avec l'avance fournie, qui reste acquise à l'Etat de Genève. Condamne B______ à verser 1'700 fr. à A______ et 800 fr. aux Services financiers du Pourvoir judicaire. Dit que chaque partie supporte ses propres dépens d'appel. Siégeant : Madame Ursula ZEHETBAUER GHAVAMI, présidente; Madame Sylvie DROIN, Monsieur Ivo BUETTI, juges; Madame Camille LESTEVEN, greffière. La présidente : Ursula ZEHETBAUER GHAVAMI</w:t>
      </w:r>
    </w:p>
    <w:p>
      <w:r>
        <w:t>La greffière : Camille LESTEVEN</w:t>
      </w:r>
    </w:p>
    <w:p>
      <w:r>
        <w:t>- 23/23 -</w:t>
      </w:r>
    </w:p>
    <w:p>
      <w:r>
        <w:t>C/16163/2016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