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ACJC/1242/2020 vom 29. Oktober 2019</w:t>
      </w:r>
    </w:p>
    <w:p>
      <w:r>
        <w:t>GE Cour de justice, 2019-10-29, FR</w:t>
      </w:r>
    </w:p>
    <w:p>
      <w:r>
        <w:rPr>
          <w:b/>
        </w:rPr>
        <w:t xml:space="preserve">Quelle: </w:t>
      </w:r>
      <w:r>
        <w:t>https://mcp.opencaselaw.ch/entscheid/ge_gerichte_ACJC_1242_2020</w:t>
      </w:r>
    </w:p>
    <w:p>
      <w:r>
        <w:t>FR: GE_GERICHTE ACJC/1242/2020 du 29 octobre 2019</w:t>
      </w:r>
    </w:p>
    <w:p>
      <w:r>
        <w:t>IT: GE_GERICHTE ACJC/1242/2020 del 29 ottobre 2019</w:t>
      </w:r>
    </w:p>
    <w:p>
      <w:pPr>
        <w:pStyle w:val="Heading2"/>
      </w:pPr>
      <w:r>
        <w:t>Erwägungen</w:t>
      </w:r>
    </w:p>
    <w:p>
      <w:r>
        <w:rPr>
          <w:b/>
        </w:rPr>
        <w:t>E. 1.1</w:t>
      </w:r>
    </w:p>
    <w:p>
      <w:r>
        <w:t>Interjeté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dans une cause dont la valeur litigieuse est supérieure à 10'000 fr. (art. 308 al. 2 CPC), l'appel formé contre les chiffres 1, 7 et 14 du dispositif du jugement du 29 octobre 2019 est recevable.</w:t>
      </w:r>
    </w:p>
    <w:p>
      <w:r>
        <w:rPr>
          <w:b/>
        </w:rPr>
        <w:t>E. 1.2</w:t>
      </w:r>
    </w:p>
    <w:p>
      <w:r>
        <w:t>La Cour revoit la cause avec un plein pouvoir d'examen (art. 310 CPC). Sa cognition est cependant limitée à la simple vraisemblance des faits et à un examen sommaire du droit, dès lors que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w:t>
      </w:r>
    </w:p>
    <w:p>
      <w:r>
        <w:t>- 7/14 -</w:t>
      </w:r>
    </w:p>
    <w:p>
      <w:r>
        <w:t>C/24428/2018</w:t>
      </w:r>
    </w:p>
    <w:p>
      <w:r>
        <w:rPr>
          <w:b/>
        </w:rPr>
        <w:t>E. 1.3</w:t>
      </w:r>
    </w:p>
    <w:p>
      <w:r>
        <w:t>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En l'espèce, les pièces nouvelles produites par les parties, ainsi que les faits s'y rapportant, sont recevables dans la mesure où ces éléments concernent leur situation financière, laquelle est susceptible d'influencer les contributions dues à l'entretien des enfants mineurs.</w:t>
      </w:r>
    </w:p>
    <w:p>
      <w:r>
        <w:rPr>
          <w:b/>
        </w:rPr>
        <w:t>E. 3</w:t>
      </w:r>
    </w:p>
    <w:p>
      <w:r>
        <w:t>Les conclusions de l'appelante tendant au paiement d'"une participation de la moitié de tout excèdent de salaire disponible, après déduction du minimum vital du débirentier" sont irrecevables, dans la mesure où l'appelante ne donne aucune explication à ce sujet et que toute conclusion en paiement doit être chiffrée (ATF 137 III 617).</w:t>
      </w:r>
    </w:p>
    <w:p>
      <w:r>
        <w:t>L'appelante a par ailleurs majoré ses conclusions en paiement en cours de procédure. Ces nouvelles prétentions sont a priori irrecevables, puisqu'elles ne semblent être fondées sur aucun fait nouveau (art. 317 al. 2 CPC). Cette question peut toutefois demeurer indécise, la Cour n'étant pas liée par les conclusions des parties.</w:t>
      </w:r>
    </w:p>
    <w:p>
      <w:r>
        <w:rPr>
          <w:b/>
        </w:rPr>
        <w:t>E. 4</w:t>
      </w:r>
    </w:p>
    <w:p>
      <w:r>
        <w:t>La question de la recevabilité des courriers adressés au Tribunal par l'appelante les</w:t>
      </w:r>
    </w:p>
    <w:p>
      <w:r>
        <w:rPr>
          <w:b/>
        </w:rPr>
        <w:t>E. 9</w:t>
      </w:r>
    </w:p>
    <w:p>
      <w:r>
        <w:t>et 12 septembre 2019 peut également rester ouverte, dès lors que celle-ci a pu reprendre, dans son appel, les arguments avancés dans ces correspondances, qui lui paraissaient pertinents. A cet égard, seuls les griefs dûment exposés dans l'appel seront traités, un simple renvoi aux écritures et pièces de première instance</w:t>
      </w:r>
    </w:p>
    <w:p>
      <w:r>
        <w:t>- 8/14 -</w:t>
      </w:r>
    </w:p>
    <w:p>
      <w:r>
        <w:t>C/24428/2018 n'étant pas admissible. La maxime inquisitoire et la maxime d'office ne dispensent en effet pas l'appelant de motiver correctement son appel (cf. ATF 138 III 374 consid. 4.3.1; JEANDIN, in Commentaire romand, Code de procédure civile, 2019, n. 3 ad art. 311 CPC; CHAIX, Introduction au recours de la nouvelle procédure civile fédérale, SJ 2009 II p. 257/264). 5. L'appelante conteste le montant des contributions d'entretien allouées.</w:t>
      </w:r>
    </w:p>
    <w:p>
      <w:r>
        <w:t>5.1.1 Selon l'art. 276 CC, l'entretien est assuré par les soins, l'éducation et des prestations pécuniaires (al. 1). Les père et mère contribuent ensemble, chacun selon ses facultés, à l'entretien convenable de l'enfant et assument en particulier les frais de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5.1.2 En présence de situations financières modestes ou moyennes, les charges de l'enfant et de ses parents se calculent en se fondant sur le minimum vital de base du droit des poursuites (art. 93 LP, qui englobe les frais pour l'alimentation, les vêtements et le linge y compris leur entretien, les soins corporels et de santé, l'entretien du logement, les assurances privées, les frais culturels ainsi que les dépenses pour l'éclairage, le courant électrique ou le gaz pour la cuisine, etc.),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w:t>
      </w:r>
    </w:p>
    <w:p>
      <w:r>
        <w:t>- 9/14 -</w:t>
      </w:r>
    </w:p>
    <w:p>
      <w:r>
        <w:t>C/24428/2018 raisonnable eu égard aux revenus du débiteur (BASTONS BULLETTI, op. cit., p. 90, 91 et 102). Une dette peut être prise en considération dans le calcul du minimum vital lorsque celle-ci a été contractée avant la fin du ménage commun aux fins de l'entretien des deux époux, mais non lorsqu'elle a été contractée au profit d'un seul des époux, à moins que tous deux n'en répondent solidairement (ATF 127 III 289 consid. 2a/bb et les références citées, in SJ 2001 I 488; arrêts du Tribunal fédéral 5A_1029/2015 du 1er juin 2016 consid. 3.3.1.3; 5A_619/2013 du 10 mars 2014 consid. 2.3.1; 5A_453/2009 du 9 novembre 2009 consid. 4.3.2 et les références;). Si l'un des parents est propriétaire d'un immeuble qu'il occupe, les charges immobilières, comprenant les intérêts hypothécaires (sans l'amortissement), les taxes de droit public et les coûts (moyens) d'entretien, doivent être ajoutées au montant de base à la place du loyer (Normes d'insaisissabilité pour l'année 2020, ch. II.1; RS/GE E 3 60.04). L'amortissement d'un prêt hypothécaire ne doit en revanche pas être pris en considération parmi les charges incompressibles, au motif qu'un tel prêt contribue à l'augmentation du patrimoine; il n'y a lieu de le prendre en compte que lorsque la situation financière le permet (ATF 127 III 289 consid. 2a/bb, JdT 2002 I 236; arrêt du Tribunal fédéral 5A_687/2011 du 17 avril 2012 consid. 6.2). Constitue une charge incompressible la moyenne des dépenses annuelles réparties sur douze mois pour le chauffage et les charges accessoires du logement (Normes d'insaisissabilité pour l'année 2020, ch. II.2). Seules les charges effectives, dont le débirentier ou le crédirentier s'acquitte réellement, doivent être prises en compte (ATF 140 III 337 consid. 4.2.3; arrêt du Tribunal fédéral 5A_426/2016 du 2 novembre 2016 consid. 4.2). Les allocations familiales doivent par ailleurs être retranchées du coût de l'enfant (arrêt du Tribunal fédéral 5A_511/2010 du 4 février 2011 consid. 3). 5.1.3 L'obligation d'entretien trouve sa limite dans la capacité contributive du débirentier, en ce sens que le minimum vital de celui-ci doit être préservé (ATF 135 III 66 consid. 2; 123 III 1 consid. 3b/bb et 5 in fine). 5.1.4 La fourniture de prestations en nature reste un critère essentiel dans la détermination de l'entretien de l'enfant, en particulier lorsqu'il s'agit de savoir qui doit supporter son entretien en espèces (arrêt du Tribunal fédéral 5A_584/2018 du</w:t>
      </w:r>
    </w:p>
    <w:p>
      <w:r>
        <w:rPr>
          <w:b/>
        </w:rPr>
        <w:t>E. 10</w:t>
      </w:r>
    </w:p>
    <w:p>
      <w:r>
        <w:t>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w:t>
      </w:r>
    </w:p>
    <w:p>
      <w:r>
        <w:t>- 10/14 -</w:t>
      </w:r>
    </w:p>
    <w:p>
      <w:r>
        <w:t>C/24428/2018 du 18 juillet 2016 consid. 3; 5A_462/2010 du 24 octobre 2011 consid. 4.2, non publié in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 5.2.1 En l'espèce, l'épouse soutient que les charges de copropriété résultant du document intitulé "décompte de copropriété" établi par la régie de l'immeuble le 27 juin 2018 n'incluent pas les frais de chauffage et d'eau chaude de l'appartement qu'elle occupe. D'après le "décompte de copropriété" du 27 juin 2018, les charges de copropriété ("charges PPE" + "frais parking") du 1er janvier au 31 décembre 2017 se sont élevées à 483 fr. par mois. L'épouse a produit un courrier de la régie du 2 juillet 2019, établissant un décompte spécifique pour les frais de chauffage et d'eau chaude du 1er mai 2018 au 30 avril 2019, lesquels se sont chiffrés à 125 fr. par mois. Dès lors que ce dernier document mentionne les provisions liées à ces frais, qu'il fait référence à des dépenses, de montants similaires, engendrées en "2017- 2018", qu'il apparait ainsi qu'un même décompte a été établi du 1er mai 2017 au 30 avril 2018, que ces dates ne coïncident pas avec la période, correspondant à l'année civile, facturée par le "décompte de copropriété" pour l'année 2017, il est vraisemblable que les frais de chauffage et d'eau chaude fassent, depuis 2017 à tout le moins, l'objet d'un décompte séparé. Partant, il y a lieu d'inclure des frais supplémentaires de 125 fr. par mois dans les dépenses générales liées au logement de l'appelante et des enfants. En revanche, il ne sera pas tenu compte de l'amortissement indirect, conformément aux principes rappelés ci-dessus. L'appelante allègue que celui est obligatoire. L'amortissement de la dette ne constitue toutefois pas une charge, mais un accroissement de la fortune, de sorte qu'il doit être écarté de son budget, la situation financière des parties, et plus particulièrement de l'époux, étant modeste. Par conséquent, les frais liés au logement de l'appelante et des enfants peuvent être estimés à 1'489 fr. par mois, dont 881 fr. de charges hypothécaires, 483 fr. de charges PPE et 125 fr. de frais de chauffage et eau chaude. Ils seront répartis à hauteur de 70%, soit 1'042 fr., dans le budget de l'épouse et de 15%, soit 223 fr., dans celui de chacun des enfants. Par ailleurs, si l'on tient compte de la perception de contributions à l'entretien des enfants d'un total de l'ordre de 1'100 fr. par mois, la charge fiscale de l'épouse</w:t>
      </w:r>
    </w:p>
    <w:p>
      <w:r>
        <w:t>- 11/14 -</w:t>
      </w:r>
    </w:p>
    <w:p>
      <w:r>
        <w:t>C/24428/2018 (ICC + IFD) peut être évaluée à 290 fr. par mois selon la calculatrice mise à disposition par l'Administration fiscale genevoise (www.ge.ch). Les charges mensuelles admissibles de l'appelante totalisent donc 3'424 fr., arrondies à 3'420 fr. (2'092 fr. de charges non contestées + 1'042 fr. de frais de logement + 290 fr. d'impôts). Son solde disponible est ainsi de 2'310 fr. par mois (5'730 fr. – 3'420 fr.). 5.2.2 L'intimé a souscrit une prime auprès de H______ de 231 fr. par an pour obtenir une garantie de loyer. Il convient donc d'ajouter à ses frais de logement le montant mensuel de 19 fr. L'époux s'est vraisemblablement acquitté en 2019 de primes d'assurance-maladie complémentaires de 249 fr. par mois (689 fr. – 440 fr. d'assurance LaMal), alors qu'en 2018 ces dernières s'élevaient à 213 fr. par mois. L'argument de l'appelante, selon lequel le paiement de sa prime d'assurance complémentaire ne serait plus effectif, doit par conséquent être rejeté. Toutefois, dans la mesure où l'intimé n'explique pas si l'augmentation de ces frais en 2019 est due à une indexation ou à une modification de la police, ceux-ci ne seront retenus qu'à hauteur de 213 fr. Si l'on tient compte du paiement de contributions à l'entretien des enfants de l'ordre de 1'100 fr. par mois au total, la charge fiscale de 260 fr. par mois, alléguée par l'époux, apparait justifiée, de sorte qu'elle sera retenue dans son budget. Il ne sera en revanche pas tenu compte des arriérés d'impôts allégués, seule la charge fiscale courante devant être prise en considération (arrêt du Tribunal fédéral 5A_508/2011 consid. 4.2.5; BASTONS BULLETTI, op.cit, p. 90). L'époux n'a au surplus pas rendu vraisemblable qu'il s'acquittait effectivement d'un montant de 110 fr. à titre d'arriérés d'impôts. Par ailleurs, les documents invoqués par l'époux ne permettent pas de retenir, même sous l'angle de la vraisemblance, que ses arriérés de carte de crédit ont été contractés pour l'entretien de la famille. Les frais allégués de 150 fr. par mois seront donc écartés. Les charges mensuelles admissibles de l'époux s'élèvent donc à 3'622 fr., arrondis à 3'620 fr. (3'130 fr. de charges non contestées + 19 fr. de H______ + 213 fr. de prime d'assurance-maladie complémentaire + 260 fr. d'impôts). Son disponible est ainsi de 1'100 fr. par mois (4'720 fr. – 3'620 fr.). 5.2.3 Il n'est pas contesté que D______ suit des cours de danse et que ces frais doivent être pris en compte dans son budget. L'épouse a rendu vraisemblable s'être acquittée de tels frais à hauteur de 130 fr. en 2019. Aussi, il sera retenu dans les charges de l'enfant un montant de 11 fr., soit 130 fr répartis sur douze mois, pour ce poste. Les frais de scolarité allégués (45 fr. par mois) et de camps d'été (non</w:t>
      </w:r>
    </w:p>
    <w:p>
      <w:r>
        <w:t>- 12/14 -</w:t>
      </w:r>
    </w:p>
    <w:p>
      <w:r>
        <w:t>C/24428/2018 chiffrés) ne sont pas documentés, de sorte qu'ils seront écartés. S'agissant par ailleurs des frais de camps d'été, ces frais invoqués à titre de frais de garde ne sont pas justifiés, D______ ayant 17 ans. Les autres frais invoqués (esthéticienne, argent de poche et téléphone) sont par ailleurs déjà compris dans le montant de base OP de l'enfant. Les besoins mensuels de D______ peuvent ainsi être estimés à 639 fr., dont 405 fr. de charges non contestées, 223 fr. de frais de logement et 11 fr. de cours de danse. Ceux de E______ s'élèvent quant à eux à 813 fr., soit 590 fr. de frais non contestés et 223 fr. de logement. Les frais de football et de piscine ne sont pas rendus vraisemblables, faute de justificatifs de paiement y-relatifs. L'appelante n'a au surplus fourni aucun indice pour établir les frais de camps d'été allégués, qu'elle ne chiffre d'ailleurs pas. Ces derniers seront donc écartés, étant au demeurant précisé que l'intimé ne semble pas disposer davantage de vacances que l'appelante, de sorte qu'il sera également contraint de trouver d'éventuelles solutions de garde durant l'exercice de son droit de visite en été. 5.3 Certes, l'appelante assume l'essentiel des soins en nature des enfants, dès lors qu'elle en a la garde. Toutefois, elle dispose d'un disponible mensuel de 2'310 fr., alors que l'intimé n'a qu'un solde de 1'100 fr. par mois. Dans ces conditions, il se justifie d'exiger d'elle qu'elle participe également, même si dans une moindre mesure, au coût financier des enfants. Les contributions mensuelles d'entretien de 500 fr. pour D______, respectivement de 600 fr. pour E______, telles que fixées par le Tribunal, impliquent une participation de l'appelante d'environ un quart aux besoins financiers des mineurs. Après paiement de celle-ci, l'épouse disposera encore d'un solde de 1'960 fr., alors que l'intimé, qui admet pouvoir participer à hauteur des montants prévus par le jugement, n'aura plus de disponible. Ces contributions apparaissent dès lors appropriées et équitables compte tenu de la situation financière des parties. Partant, l'appel sera rejeté sur ce point et le chiffre 7 du jugement entrepris confirmé. 6. L'appelante reproche au Tribunal de ne pas avoir précisé dans le dispositif de son jugement que tout frais supplémentaire extraordinaire sera à la charge des parties par moitié chacune, afin de rendre la situation et les obligations de chacun des parents plus claires sur cette question.</w:t>
      </w:r>
    </w:p>
    <w:p>
      <w:r>
        <w:t>Si des dissensions existent entre les parties, comme le soutient l'appelante, la mise en œuvre de discussions quant à la nature et au montant des frais extraordinaires à engager ainsi que la prise de décisions relatives à ces questions sera difficile.</w:t>
      </w:r>
    </w:p>
    <w:p>
      <w:r>
        <w:t>- 13/14 -</w:t>
      </w:r>
    </w:p>
    <w:p>
      <w:r>
        <w:t>C/24428/2018 Par ailleurs, après paiement de ses propres charges et des contributions d'entretien dues aux enfants, l'intimé ne dispose que d'un faible disponible de 260 fr. par mois, pour autant que l'on exclut sa charge fiscale de son minimum vital. La conclusion de l'appelante tendant à la prise en charge systématique par moitié des frais extraordinaires des enfants n'apparaît dès lors pas de nature à clarifier une situation qui serait véritablement problématique, mais plutôt à susciter, le cas échéant, des controverses entre les parties. Selon le montant des frais engagés, elle pourrait en outre ne pas être adaptée à leur situation financière. Partant, il ne se justifie pas de donner suite à ladite conclusion. En cas de litige concernant des frais extraordinaires, l'art. 286 al. 3 CC sera applicable. 7. Il s'ensuit que l'appel est entièrement rejeté et le jugement querellé confirmé. 8. L'appelante, qui succombe entièrement devant la Cour, sera condamnée aux frais judicaires d'appel, arrêtés à 1'000 fr. pour tenir également compte de la décision sur effet suspensif (art. 31 et 37 RTFMC), et compensés avec l'avance de frais fournie par elle, laquelle reste acquise à l'Etat de Genève (art. 111 al. 1 CPC). Compte tenu de la nature familiale du litige, chaque partie supportera ses propres dépens d'appel (art. 107 al. 1 let. c CPC). * * * * *</w:t>
      </w:r>
    </w:p>
    <w:p>
      <w:r>
        <w:t>- 14/14 -</w:t>
      </w:r>
    </w:p>
    <w:p>
      <w:r>
        <w:t>C/24428/2018 PAR CES MOTIFS, La Chambre civile : A la forme : Déclare recevable l'appel interjeté par A______ contre les chiffres 1, 7 et 14 du dispositif du jugement JTPI/15167/2019 rendu le 29 octobre 2019 par le Tribunal de première instance dans la cause C/24428/2018-9. Déclare irrecevables les conclusions de A______ tendant au paiement d'"une participation de la moitié de tout excèdent de salaire disponible, après déduction du minimum vital du débirentier". Au fond : Confirme le jugement entrepris. Déboute les parties de toutes autres conclusions. Sur les frais : Arrête les frais judiciaires d'appel à 1'000 fr., les met à la charge de A______ et dit qu'ils sont compensés avec l'avance de frais de même montant fournie par celle-ci, qui reste acquise à l'Etat de Genève.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